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E3283F" w:rsidRDefault="00F97930" w:rsidP="00B21957">
      <w:pPr>
        <w:spacing w:line="276" w:lineRule="auto"/>
        <w:jc w:val="center"/>
        <w:rPr>
          <w:rFonts w:ascii="Verdana" w:hAnsi="Verdana"/>
          <w:b/>
          <w:sz w:val="20"/>
          <w:szCs w:val="20"/>
        </w:rPr>
      </w:pPr>
      <w:r w:rsidRPr="00E3283F">
        <w:rPr>
          <w:rFonts w:ascii="Verdana" w:hAnsi="Verdana"/>
          <w:b/>
          <w:sz w:val="20"/>
          <w:szCs w:val="20"/>
        </w:rPr>
        <w:t xml:space="preserve">DISPENSA ELETRÔNICA </w:t>
      </w:r>
      <w:r w:rsidR="00E3283F" w:rsidRPr="00E3283F">
        <w:rPr>
          <w:rFonts w:ascii="Verdana" w:hAnsi="Verdana"/>
          <w:b/>
          <w:sz w:val="20"/>
          <w:szCs w:val="20"/>
        </w:rPr>
        <w:t>19</w:t>
      </w:r>
      <w:r w:rsidR="00F634D8" w:rsidRPr="00E3283F">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E3283F">
        <w:rPr>
          <w:rFonts w:ascii="Verdana" w:hAnsi="Verdana"/>
          <w:b/>
          <w:sz w:val="20"/>
          <w:szCs w:val="20"/>
        </w:rPr>
        <w:t xml:space="preserve">PROCESSO DE LICITAÇÃO </w:t>
      </w:r>
      <w:r w:rsidR="00E3283F" w:rsidRPr="00E3283F">
        <w:rPr>
          <w:rFonts w:ascii="Verdana" w:hAnsi="Verdana"/>
          <w:b/>
          <w:sz w:val="20"/>
          <w:szCs w:val="20"/>
        </w:rPr>
        <w:t>172</w:t>
      </w:r>
      <w:r w:rsidRPr="00E3283F">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3739A6" w:rsidRPr="003739A6">
        <w:rPr>
          <w:rFonts w:ascii="Verdana" w:hAnsi="Verdana"/>
          <w:sz w:val="20"/>
          <w:szCs w:val="20"/>
        </w:rPr>
        <w:t xml:space="preserve"> </w:t>
      </w:r>
      <w:r w:rsidR="003739A6">
        <w:rPr>
          <w:rFonts w:ascii="Verdana" w:hAnsi="Verdana"/>
          <w:sz w:val="20"/>
          <w:szCs w:val="20"/>
        </w:rPr>
        <w:t xml:space="preserve">com entrega das propostas das 08h30min, do dia </w:t>
      </w:r>
      <w:r w:rsidR="00E3283F">
        <w:rPr>
          <w:rFonts w:ascii="Verdana" w:hAnsi="Verdana"/>
          <w:sz w:val="20"/>
          <w:szCs w:val="20"/>
        </w:rPr>
        <w:t>01</w:t>
      </w:r>
      <w:r w:rsidR="003529B6">
        <w:rPr>
          <w:rFonts w:ascii="Verdana" w:hAnsi="Verdana"/>
          <w:sz w:val="20"/>
          <w:szCs w:val="20"/>
        </w:rPr>
        <w:t>/10</w:t>
      </w:r>
      <w:r w:rsidR="003739A6" w:rsidRPr="0018238A">
        <w:rPr>
          <w:rFonts w:ascii="Verdana" w:hAnsi="Verdana"/>
          <w:sz w:val="20"/>
          <w:szCs w:val="20"/>
        </w:rPr>
        <w:t>/</w:t>
      </w:r>
      <w:r w:rsidR="009E156B">
        <w:rPr>
          <w:rFonts w:ascii="Verdana" w:hAnsi="Verdana"/>
          <w:sz w:val="20"/>
          <w:szCs w:val="20"/>
        </w:rPr>
        <w:t>2024 às 08</w:t>
      </w:r>
      <w:r w:rsidR="003739A6">
        <w:rPr>
          <w:rFonts w:ascii="Verdana" w:hAnsi="Verdana"/>
          <w:sz w:val="20"/>
          <w:szCs w:val="20"/>
        </w:rPr>
        <w:t xml:space="preserve">h30min </w:t>
      </w:r>
      <w:r w:rsidR="00602303">
        <w:rPr>
          <w:rFonts w:ascii="Verdana" w:hAnsi="Verdana"/>
          <w:sz w:val="20"/>
          <w:szCs w:val="20"/>
        </w:rPr>
        <w:t xml:space="preserve">do dia </w:t>
      </w:r>
      <w:r w:rsidR="00E3283F">
        <w:rPr>
          <w:rFonts w:ascii="Verdana" w:hAnsi="Verdana"/>
          <w:sz w:val="20"/>
          <w:szCs w:val="20"/>
        </w:rPr>
        <w:t>04</w:t>
      </w:r>
      <w:r w:rsidR="00DA51DC">
        <w:rPr>
          <w:rFonts w:ascii="Verdana" w:hAnsi="Verdana"/>
          <w:sz w:val="20"/>
          <w:szCs w:val="20"/>
        </w:rPr>
        <w:t>/10</w:t>
      </w:r>
      <w:r w:rsidR="003739A6">
        <w:rPr>
          <w:rFonts w:ascii="Verdana" w:hAnsi="Verdana"/>
          <w:sz w:val="20"/>
          <w:szCs w:val="20"/>
        </w:rPr>
        <w:t>/2024, e lances das 08h31min às 14h31min</w:t>
      </w:r>
      <w:r w:rsidR="003739A6" w:rsidRPr="00A72DC9">
        <w:rPr>
          <w:rFonts w:ascii="Verdana" w:hAnsi="Verdana"/>
          <w:sz w:val="20"/>
          <w:szCs w:val="20"/>
        </w:rPr>
        <w:t xml:space="preserve"> </w:t>
      </w:r>
      <w:r w:rsidR="00DA51DC">
        <w:rPr>
          <w:rFonts w:ascii="Verdana" w:hAnsi="Verdana"/>
          <w:sz w:val="20"/>
          <w:szCs w:val="20"/>
        </w:rPr>
        <w:t xml:space="preserve">do dia </w:t>
      </w:r>
      <w:r w:rsidR="00E3283F">
        <w:rPr>
          <w:rFonts w:ascii="Verdana" w:hAnsi="Verdana"/>
          <w:sz w:val="20"/>
          <w:szCs w:val="20"/>
        </w:rPr>
        <w:t>04</w:t>
      </w:r>
      <w:r w:rsidR="00DA51DC">
        <w:rPr>
          <w:rFonts w:ascii="Verdana" w:hAnsi="Verdana"/>
          <w:sz w:val="20"/>
          <w:szCs w:val="20"/>
        </w:rPr>
        <w:t>/10</w:t>
      </w:r>
      <w:r w:rsidR="003739A6">
        <w:rPr>
          <w:rFonts w:ascii="Verdana" w:hAnsi="Verdana"/>
          <w:sz w:val="20"/>
          <w:szCs w:val="20"/>
        </w:rPr>
        <w:t>/2024</w:t>
      </w:r>
      <w:r w:rsidRPr="00B21957">
        <w:rPr>
          <w:rFonts w:ascii="Verdana" w:hAnsi="Verdana"/>
          <w:sz w:val="20"/>
          <w:szCs w:val="20"/>
        </w:rPr>
        <w:t xml:space="preserve"> através do site </w:t>
      </w:r>
      <w:r w:rsidR="009209E5">
        <w:fldChar w:fldCharType="begin"/>
      </w:r>
      <w:r w:rsidR="00073E27">
        <w:instrText>HYPERLINK "http://www.portaldecompraspublicas.com.br"</w:instrText>
      </w:r>
      <w:r w:rsidR="009209E5">
        <w:fldChar w:fldCharType="separate"/>
      </w:r>
      <w:r w:rsidRPr="00B21957">
        <w:rPr>
          <w:rStyle w:val="Hyperlink"/>
          <w:rFonts w:ascii="Verdana" w:hAnsi="Verdana"/>
          <w:sz w:val="20"/>
          <w:szCs w:val="20"/>
          <w:u w:val="none"/>
        </w:rPr>
        <w:t>www.portaldecompraspublicas.com.br</w:t>
      </w:r>
      <w:r w:rsidR="009209E5">
        <w:fldChar w:fldCharType="end"/>
      </w:r>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602303" w:rsidRDefault="0031405D" w:rsidP="003232E9">
      <w:pPr>
        <w:pStyle w:val="Corpodetexto"/>
        <w:numPr>
          <w:ilvl w:val="1"/>
          <w:numId w:val="4"/>
        </w:numPr>
        <w:spacing w:before="3" w:line="276" w:lineRule="auto"/>
        <w:jc w:val="both"/>
        <w:rPr>
          <w:rFonts w:ascii="Verdana" w:hAnsi="Verdana" w:cs="Arial"/>
          <w:sz w:val="20"/>
          <w:szCs w:val="20"/>
        </w:rPr>
      </w:pPr>
      <w:r w:rsidRPr="00602303">
        <w:rPr>
          <w:rFonts w:ascii="Verdana" w:hAnsi="Verdana" w:cs="Arial"/>
          <w:sz w:val="20"/>
          <w:szCs w:val="20"/>
        </w:rPr>
        <w:t>A presente tem por ob</w:t>
      </w:r>
      <w:r w:rsidR="003232E9" w:rsidRPr="00602303">
        <w:rPr>
          <w:rFonts w:ascii="Verdana" w:hAnsi="Verdana" w:cs="Arial"/>
          <w:sz w:val="20"/>
          <w:szCs w:val="20"/>
        </w:rPr>
        <w:t>jeto</w:t>
      </w:r>
      <w:r w:rsidR="00C40C87" w:rsidRPr="00602303">
        <w:rPr>
          <w:rFonts w:ascii="Verdana" w:hAnsi="Verdana" w:cs="Arial"/>
          <w:sz w:val="20"/>
          <w:szCs w:val="20"/>
        </w:rPr>
        <w:t xml:space="preserve"> </w:t>
      </w:r>
      <w:r w:rsidR="00D70CF7">
        <w:rPr>
          <w:rFonts w:ascii="Verdana" w:hAnsi="Verdana" w:cs="Arial"/>
          <w:sz w:val="20"/>
          <w:szCs w:val="20"/>
        </w:rPr>
        <w:t>a</w:t>
      </w:r>
      <w:r w:rsidR="00602303" w:rsidRPr="00602303">
        <w:rPr>
          <w:rFonts w:ascii="Verdana" w:hAnsi="Verdana" w:cs="Arial"/>
          <w:sz w:val="20"/>
          <w:szCs w:val="20"/>
        </w:rPr>
        <w:t>quisição de bens</w:t>
      </w:r>
      <w:r w:rsidR="00602303">
        <w:rPr>
          <w:rFonts w:ascii="Verdana" w:hAnsi="Verdana" w:cs="Arial"/>
          <w:sz w:val="20"/>
          <w:szCs w:val="20"/>
        </w:rPr>
        <w:t xml:space="preserve"> móveis para o Museu Comunitári</w:t>
      </w:r>
      <w:r w:rsidR="009144A9">
        <w:rPr>
          <w:rFonts w:ascii="Verdana" w:hAnsi="Verdana" w:cs="Arial"/>
          <w:sz w:val="20"/>
          <w:szCs w:val="20"/>
        </w:rPr>
        <w:t>o</w:t>
      </w:r>
      <w:r w:rsidR="00602303">
        <w:rPr>
          <w:rFonts w:ascii="Verdana" w:hAnsi="Verdana" w:cs="Arial"/>
          <w:sz w:val="20"/>
          <w:szCs w:val="20"/>
        </w:rPr>
        <w:t>.</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602303">
        <w:rPr>
          <w:rFonts w:ascii="Verdana" w:hAnsi="Verdana" w:cs="Arial"/>
          <w:sz w:val="20"/>
          <w:szCs w:val="20"/>
        </w:rPr>
        <w:t>O</w:t>
      </w:r>
      <w:r w:rsidR="003232E9" w:rsidRPr="00602303">
        <w:rPr>
          <w:rFonts w:ascii="Verdana" w:hAnsi="Verdana" w:cs="Arial"/>
          <w:sz w:val="20"/>
          <w:szCs w:val="20"/>
        </w:rPr>
        <w:t>s itens</w:t>
      </w:r>
      <w:r w:rsidRPr="00602303">
        <w:rPr>
          <w:rFonts w:ascii="Verdana" w:hAnsi="Verdana" w:cs="Arial"/>
          <w:sz w:val="20"/>
          <w:szCs w:val="20"/>
        </w:rPr>
        <w:t xml:space="preserve"> encontra</w:t>
      </w:r>
      <w:r w:rsidR="003232E9" w:rsidRPr="00602303">
        <w:rPr>
          <w:rFonts w:ascii="Verdana" w:hAnsi="Verdana" w:cs="Arial"/>
          <w:sz w:val="20"/>
          <w:szCs w:val="20"/>
        </w:rPr>
        <w:t>m</w:t>
      </w:r>
      <w:r w:rsidRPr="00602303">
        <w:rPr>
          <w:rFonts w:ascii="Verdana" w:hAnsi="Verdana" w:cs="Arial"/>
          <w:sz w:val="20"/>
          <w:szCs w:val="20"/>
        </w:rPr>
        <w:t>-se devidamente quantificado</w:t>
      </w:r>
      <w:r w:rsidR="003232E9" w:rsidRPr="00602303">
        <w:rPr>
          <w:rFonts w:ascii="Verdana" w:hAnsi="Verdana" w:cs="Arial"/>
          <w:sz w:val="20"/>
          <w:szCs w:val="20"/>
        </w:rPr>
        <w:t>s</w:t>
      </w:r>
      <w:r w:rsidRPr="00602303">
        <w:rPr>
          <w:rFonts w:ascii="Verdana" w:hAnsi="Verdana" w:cs="Arial"/>
          <w:sz w:val="20"/>
          <w:szCs w:val="20"/>
        </w:rPr>
        <w:t xml:space="preserve"> e especificado</w:t>
      </w:r>
      <w:r w:rsidR="003232E9" w:rsidRPr="00602303">
        <w:rPr>
          <w:rFonts w:ascii="Verdana" w:hAnsi="Verdana" w:cs="Arial"/>
          <w:sz w:val="20"/>
          <w:szCs w:val="20"/>
        </w:rPr>
        <w:t>s</w:t>
      </w:r>
      <w:r w:rsidR="000C413A" w:rsidRPr="00602303">
        <w:rPr>
          <w:rFonts w:ascii="Verdana" w:hAnsi="Verdana" w:cs="Arial"/>
          <w:sz w:val="20"/>
          <w:szCs w:val="20"/>
        </w:rPr>
        <w:t xml:space="preserve"> no quadro </w:t>
      </w:r>
      <w:r w:rsidR="00FB2074">
        <w:rPr>
          <w:rFonts w:ascii="Verdana" w:hAnsi="Verdana" w:cs="Arial"/>
          <w:sz w:val="20"/>
          <w:szCs w:val="20"/>
        </w:rPr>
        <w:t>abaixo</w:t>
      </w:r>
      <w:r w:rsidR="00267538" w:rsidRPr="00602303">
        <w:rPr>
          <w:rFonts w:ascii="Verdana" w:hAnsi="Verdana" w:cs="Arial"/>
          <w:sz w:val="20"/>
          <w:szCs w:val="20"/>
        </w:rPr>
        <w:t xml:space="preserve">. </w:t>
      </w:r>
      <w:r w:rsidRPr="00602303">
        <w:rPr>
          <w:rFonts w:ascii="Verdana" w:hAnsi="Verdana" w:cs="Arial"/>
          <w:sz w:val="20"/>
          <w:szCs w:val="20"/>
        </w:rPr>
        <w:t>Em caso de divergência existente entre a especificação dos itens que compõem o objeto descrito no site do Portal de Compras Públicas e a especificação constante deste Termo, prevalecerão as últimas.</w:t>
      </w:r>
    </w:p>
    <w:p w:rsidR="00342475" w:rsidRDefault="00342475" w:rsidP="00342475">
      <w:pPr>
        <w:pStyle w:val="normal0"/>
        <w:tabs>
          <w:tab w:val="left" w:pos="6521"/>
        </w:tabs>
        <w:jc w:val="both"/>
      </w:pPr>
    </w:p>
    <w:p w:rsidR="001A214F" w:rsidRPr="00C5045B" w:rsidRDefault="001A214F" w:rsidP="00342475">
      <w:pPr>
        <w:pStyle w:val="normal0"/>
        <w:tabs>
          <w:tab w:val="left" w:pos="6521"/>
        </w:tabs>
        <w:jc w:val="both"/>
      </w:pPr>
      <w:r w:rsidRPr="00DF6973">
        <w:t>Descrições e quantidades</w:t>
      </w:r>
    </w:p>
    <w:tbl>
      <w:tblPr>
        <w:tblW w:w="9639"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600"/>
      </w:tblPr>
      <w:tblGrid>
        <w:gridCol w:w="709"/>
        <w:gridCol w:w="6237"/>
        <w:gridCol w:w="1134"/>
        <w:gridCol w:w="1559"/>
      </w:tblGrid>
      <w:tr w:rsidR="001A214F" w:rsidRPr="00C5045B" w:rsidTr="00342475">
        <w:trPr>
          <w:cantSplit/>
          <w:trHeight w:val="252"/>
          <w:tblHeader/>
        </w:trPr>
        <w:tc>
          <w:tcPr>
            <w:tcW w:w="70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sz w:val="20"/>
                <w:szCs w:val="20"/>
              </w:rPr>
            </w:pPr>
            <w:r w:rsidRPr="00342475">
              <w:rPr>
                <w:color w:val="000000"/>
                <w:sz w:val="20"/>
                <w:szCs w:val="20"/>
              </w:rPr>
              <w:t>ITEM</w:t>
            </w:r>
          </w:p>
        </w:tc>
        <w:tc>
          <w:tcPr>
            <w:tcW w:w="6237"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sz w:val="20"/>
                <w:szCs w:val="20"/>
              </w:rPr>
            </w:pPr>
            <w:r w:rsidRPr="00342475">
              <w:rPr>
                <w:color w:val="000000"/>
                <w:sz w:val="20"/>
                <w:szCs w:val="20"/>
              </w:rPr>
              <w:t>DESCRIÇÃO/ESPECIFICAÇÃO</w:t>
            </w:r>
          </w:p>
        </w:tc>
        <w:tc>
          <w:tcPr>
            <w:tcW w:w="1134"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sz w:val="20"/>
                <w:szCs w:val="20"/>
              </w:rPr>
            </w:pPr>
            <w:r w:rsidRPr="00342475">
              <w:rPr>
                <w:color w:val="000000"/>
                <w:sz w:val="20"/>
                <w:szCs w:val="20"/>
              </w:rPr>
              <w:t>UNIDADE</w:t>
            </w:r>
          </w:p>
        </w:tc>
        <w:tc>
          <w:tcPr>
            <w:tcW w:w="155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sz w:val="20"/>
                <w:szCs w:val="20"/>
              </w:rPr>
            </w:pPr>
            <w:r w:rsidRPr="00342475">
              <w:rPr>
                <w:color w:val="000000"/>
                <w:sz w:val="20"/>
                <w:szCs w:val="20"/>
              </w:rPr>
              <w:t>QUANTIDADE</w:t>
            </w:r>
          </w:p>
        </w:tc>
      </w:tr>
      <w:tr w:rsidR="001A214F" w:rsidRPr="00C5045B" w:rsidTr="00342475">
        <w:trPr>
          <w:cantSplit/>
          <w:trHeight w:val="285"/>
          <w:tblHeader/>
        </w:trPr>
        <w:tc>
          <w:tcPr>
            <w:tcW w:w="70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1</w:t>
            </w:r>
            <w:proofErr w:type="gramEnd"/>
          </w:p>
          <w:p w:rsidR="001A214F" w:rsidRPr="00342475" w:rsidRDefault="001A214F" w:rsidP="001A214F">
            <w:pPr>
              <w:pStyle w:val="normal0"/>
              <w:tabs>
                <w:tab w:val="left" w:pos="6521"/>
              </w:tabs>
              <w:jc w:val="center"/>
              <w:rPr>
                <w:color w:val="000000"/>
                <w:sz w:val="20"/>
                <w:szCs w:val="20"/>
              </w:rPr>
            </w:pPr>
          </w:p>
        </w:tc>
        <w:tc>
          <w:tcPr>
            <w:tcW w:w="6237"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sz w:val="20"/>
                <w:szCs w:val="20"/>
              </w:rPr>
            </w:pPr>
            <w:r w:rsidRPr="00342475">
              <w:rPr>
                <w:color w:val="000000" w:themeColor="text1"/>
                <w:sz w:val="20"/>
                <w:szCs w:val="20"/>
              </w:rPr>
              <w:t xml:space="preserve">Mesa em MDF, com comprimento de 1.00 </w:t>
            </w:r>
            <w:proofErr w:type="spellStart"/>
            <w:proofErr w:type="gramStart"/>
            <w:r w:rsidRPr="00342475">
              <w:rPr>
                <w:color w:val="000000" w:themeColor="text1"/>
                <w:sz w:val="20"/>
                <w:szCs w:val="20"/>
              </w:rPr>
              <w:t>Mt</w:t>
            </w:r>
            <w:proofErr w:type="spellEnd"/>
            <w:proofErr w:type="gramEnd"/>
            <w:r w:rsidRPr="00342475">
              <w:rPr>
                <w:color w:val="000000" w:themeColor="text1"/>
                <w:sz w:val="20"/>
                <w:szCs w:val="20"/>
              </w:rPr>
              <w:t>, e largura de 0.60Cm, na cor marrom ou amadeirada e com pés em forma de cantoneira.</w:t>
            </w:r>
          </w:p>
        </w:tc>
        <w:tc>
          <w:tcPr>
            <w:tcW w:w="1134"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color w:val="000000"/>
                <w:sz w:val="20"/>
                <w:szCs w:val="20"/>
              </w:rPr>
            </w:pPr>
            <w:r w:rsidRPr="00342475">
              <w:rPr>
                <w:color w:val="000000"/>
                <w:sz w:val="20"/>
                <w:szCs w:val="20"/>
              </w:rPr>
              <w:t>Mesa</w:t>
            </w:r>
          </w:p>
        </w:tc>
        <w:tc>
          <w:tcPr>
            <w:tcW w:w="155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7</w:t>
            </w:r>
            <w:proofErr w:type="gramEnd"/>
          </w:p>
        </w:tc>
      </w:tr>
      <w:tr w:rsidR="001A214F" w:rsidRPr="00C5045B" w:rsidTr="00342475">
        <w:trPr>
          <w:cantSplit/>
          <w:trHeight w:val="285"/>
          <w:tblHeader/>
        </w:trPr>
        <w:tc>
          <w:tcPr>
            <w:tcW w:w="70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2</w:t>
            </w:r>
            <w:proofErr w:type="gramEnd"/>
          </w:p>
        </w:tc>
        <w:tc>
          <w:tcPr>
            <w:tcW w:w="6237"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color w:val="000000"/>
                <w:sz w:val="20"/>
                <w:szCs w:val="20"/>
              </w:rPr>
            </w:pPr>
            <w:r w:rsidRPr="00342475">
              <w:rPr>
                <w:color w:val="000000" w:themeColor="text1"/>
                <w:sz w:val="20"/>
                <w:szCs w:val="20"/>
              </w:rPr>
              <w:t xml:space="preserve">Roupeiro em MDP, com </w:t>
            </w:r>
            <w:proofErr w:type="gramStart"/>
            <w:r w:rsidRPr="00342475">
              <w:rPr>
                <w:color w:val="000000" w:themeColor="text1"/>
                <w:sz w:val="20"/>
                <w:szCs w:val="20"/>
              </w:rPr>
              <w:t>3</w:t>
            </w:r>
            <w:proofErr w:type="gramEnd"/>
            <w:r w:rsidRPr="00342475">
              <w:rPr>
                <w:color w:val="000000" w:themeColor="text1"/>
                <w:sz w:val="20"/>
                <w:szCs w:val="20"/>
              </w:rPr>
              <w:t xml:space="preserve"> portas e 2 Gavetas e 6 prateleiras, 1 </w:t>
            </w:r>
            <w:proofErr w:type="spellStart"/>
            <w:r w:rsidRPr="00342475">
              <w:rPr>
                <w:color w:val="000000" w:themeColor="text1"/>
                <w:sz w:val="20"/>
                <w:szCs w:val="20"/>
              </w:rPr>
              <w:t>cabideiro</w:t>
            </w:r>
            <w:proofErr w:type="spellEnd"/>
            <w:r w:rsidRPr="00342475">
              <w:rPr>
                <w:color w:val="000000" w:themeColor="text1"/>
                <w:sz w:val="20"/>
                <w:szCs w:val="20"/>
              </w:rPr>
              <w:t>. Com altura de 1.80, com largura de 0.80 Cm e profundidade de 0.46 Cm, na cor amêndoa</w:t>
            </w:r>
          </w:p>
        </w:tc>
        <w:tc>
          <w:tcPr>
            <w:tcW w:w="1134"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color w:val="000000"/>
                <w:sz w:val="20"/>
                <w:szCs w:val="20"/>
              </w:rPr>
            </w:pPr>
            <w:proofErr w:type="spellStart"/>
            <w:r w:rsidRPr="00342475">
              <w:rPr>
                <w:color w:val="000000"/>
                <w:sz w:val="20"/>
                <w:szCs w:val="20"/>
              </w:rPr>
              <w:t>Roup</w:t>
            </w:r>
            <w:proofErr w:type="spellEnd"/>
            <w:r w:rsidRPr="00342475">
              <w:rPr>
                <w:color w:val="000000"/>
                <w:sz w:val="20"/>
                <w:szCs w:val="20"/>
              </w:rPr>
              <w:t>.</w:t>
            </w:r>
          </w:p>
        </w:tc>
        <w:tc>
          <w:tcPr>
            <w:tcW w:w="155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2</w:t>
            </w:r>
            <w:proofErr w:type="gramEnd"/>
          </w:p>
        </w:tc>
      </w:tr>
      <w:tr w:rsidR="001A214F" w:rsidRPr="00C5045B" w:rsidTr="00342475">
        <w:trPr>
          <w:cantSplit/>
          <w:trHeight w:val="285"/>
          <w:tblHeader/>
        </w:trPr>
        <w:tc>
          <w:tcPr>
            <w:tcW w:w="70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3</w:t>
            </w:r>
            <w:proofErr w:type="gramEnd"/>
          </w:p>
        </w:tc>
        <w:tc>
          <w:tcPr>
            <w:tcW w:w="6237"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color w:val="000000"/>
                <w:sz w:val="20"/>
                <w:szCs w:val="20"/>
              </w:rPr>
            </w:pPr>
            <w:r w:rsidRPr="00342475">
              <w:rPr>
                <w:color w:val="000000" w:themeColor="text1"/>
                <w:sz w:val="20"/>
                <w:szCs w:val="20"/>
              </w:rPr>
              <w:t xml:space="preserve">Estante – Livreiro rústico em madeira de pinus, na cor marrom. Com altura de </w:t>
            </w:r>
            <w:proofErr w:type="gramStart"/>
            <w:r w:rsidRPr="00342475">
              <w:rPr>
                <w:color w:val="000000" w:themeColor="text1"/>
                <w:sz w:val="20"/>
                <w:szCs w:val="20"/>
              </w:rPr>
              <w:t xml:space="preserve">2.00 </w:t>
            </w:r>
            <w:proofErr w:type="spellStart"/>
            <w:r w:rsidRPr="00342475">
              <w:rPr>
                <w:color w:val="000000" w:themeColor="text1"/>
                <w:sz w:val="20"/>
                <w:szCs w:val="20"/>
              </w:rPr>
              <w:t>Mts</w:t>
            </w:r>
            <w:proofErr w:type="spellEnd"/>
            <w:proofErr w:type="gramEnd"/>
            <w:r w:rsidRPr="00342475">
              <w:rPr>
                <w:color w:val="000000" w:themeColor="text1"/>
                <w:sz w:val="20"/>
                <w:szCs w:val="20"/>
              </w:rPr>
              <w:t xml:space="preserve"> e comprimento de 0.74 Cm e profundidade de 0.35 Cm, fechada no fundo e com 4 prateleiras.</w:t>
            </w:r>
          </w:p>
        </w:tc>
        <w:tc>
          <w:tcPr>
            <w:tcW w:w="1134"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color w:val="000000"/>
                <w:sz w:val="20"/>
                <w:szCs w:val="20"/>
              </w:rPr>
            </w:pPr>
            <w:r w:rsidRPr="00342475">
              <w:rPr>
                <w:color w:val="000000"/>
                <w:sz w:val="20"/>
                <w:szCs w:val="20"/>
              </w:rPr>
              <w:t>Estante</w:t>
            </w:r>
          </w:p>
        </w:tc>
        <w:tc>
          <w:tcPr>
            <w:tcW w:w="155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3</w:t>
            </w:r>
            <w:proofErr w:type="gramEnd"/>
          </w:p>
        </w:tc>
      </w:tr>
      <w:tr w:rsidR="001A214F" w:rsidRPr="00C5045B" w:rsidTr="00342475">
        <w:trPr>
          <w:cantSplit/>
          <w:trHeight w:val="285"/>
          <w:tblHeader/>
        </w:trPr>
        <w:tc>
          <w:tcPr>
            <w:tcW w:w="70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4</w:t>
            </w:r>
            <w:proofErr w:type="gramEnd"/>
          </w:p>
        </w:tc>
        <w:tc>
          <w:tcPr>
            <w:tcW w:w="6237"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color w:val="000000"/>
                <w:sz w:val="20"/>
                <w:szCs w:val="20"/>
              </w:rPr>
            </w:pPr>
            <w:r w:rsidRPr="00342475">
              <w:rPr>
                <w:color w:val="000000" w:themeColor="text1"/>
                <w:sz w:val="20"/>
                <w:szCs w:val="20"/>
              </w:rPr>
              <w:t xml:space="preserve">Estante – Livreiro rústico em MDP, na marrom. Com altura de </w:t>
            </w:r>
            <w:proofErr w:type="gramStart"/>
            <w:r w:rsidRPr="00342475">
              <w:rPr>
                <w:color w:val="000000" w:themeColor="text1"/>
                <w:sz w:val="20"/>
                <w:szCs w:val="20"/>
              </w:rPr>
              <w:t xml:space="preserve">1.78 </w:t>
            </w:r>
            <w:proofErr w:type="spellStart"/>
            <w:r w:rsidRPr="00342475">
              <w:rPr>
                <w:color w:val="000000" w:themeColor="text1"/>
                <w:sz w:val="20"/>
                <w:szCs w:val="20"/>
              </w:rPr>
              <w:t>Mts</w:t>
            </w:r>
            <w:proofErr w:type="spellEnd"/>
            <w:proofErr w:type="gramEnd"/>
            <w:r w:rsidRPr="00342475">
              <w:rPr>
                <w:color w:val="000000" w:themeColor="text1"/>
                <w:sz w:val="20"/>
                <w:szCs w:val="20"/>
              </w:rPr>
              <w:t xml:space="preserve"> e largura de  0.50 Cm e profundidade de 0.35 Cm, com 4 prateleiras.</w:t>
            </w:r>
          </w:p>
        </w:tc>
        <w:tc>
          <w:tcPr>
            <w:tcW w:w="1134"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both"/>
              <w:rPr>
                <w:color w:val="000000"/>
                <w:sz w:val="20"/>
                <w:szCs w:val="20"/>
              </w:rPr>
            </w:pPr>
            <w:r w:rsidRPr="00342475">
              <w:rPr>
                <w:color w:val="000000"/>
                <w:sz w:val="20"/>
                <w:szCs w:val="20"/>
              </w:rPr>
              <w:t>Estante</w:t>
            </w:r>
          </w:p>
        </w:tc>
        <w:tc>
          <w:tcPr>
            <w:tcW w:w="1559" w:type="dxa"/>
            <w:tcBorders>
              <w:top w:val="single" w:sz="4" w:space="0" w:color="E36C0A"/>
              <w:left w:val="single" w:sz="4" w:space="0" w:color="E36C0A"/>
              <w:bottom w:val="single" w:sz="4" w:space="0" w:color="E36C0A"/>
              <w:right w:val="single" w:sz="4" w:space="0" w:color="E36C0A"/>
            </w:tcBorders>
          </w:tcPr>
          <w:p w:rsidR="001A214F" w:rsidRPr="00342475" w:rsidRDefault="001A214F" w:rsidP="001A214F">
            <w:pPr>
              <w:pStyle w:val="normal0"/>
              <w:tabs>
                <w:tab w:val="left" w:pos="6521"/>
              </w:tabs>
              <w:jc w:val="center"/>
              <w:rPr>
                <w:color w:val="000000"/>
                <w:sz w:val="20"/>
                <w:szCs w:val="20"/>
              </w:rPr>
            </w:pPr>
            <w:proofErr w:type="gramStart"/>
            <w:r w:rsidRPr="00342475">
              <w:rPr>
                <w:color w:val="000000"/>
                <w:sz w:val="20"/>
                <w:szCs w:val="20"/>
              </w:rPr>
              <w:t>3</w:t>
            </w:r>
            <w:proofErr w:type="gramEnd"/>
          </w:p>
        </w:tc>
      </w:tr>
    </w:tbl>
    <w:p w:rsidR="001A214F" w:rsidRPr="00602303" w:rsidRDefault="001A214F" w:rsidP="001A214F">
      <w:pPr>
        <w:pStyle w:val="Corpodetexto"/>
        <w:spacing w:before="3" w:line="276" w:lineRule="auto"/>
        <w:jc w:val="both"/>
        <w:rPr>
          <w:rFonts w:ascii="Verdana" w:hAnsi="Verdana" w:cs="Arial"/>
          <w:sz w:val="20"/>
          <w:szCs w:val="20"/>
        </w:rPr>
      </w:pPr>
    </w:p>
    <w:p w:rsidR="003232E9" w:rsidRDefault="00376E0A" w:rsidP="00C40C87">
      <w:pPr>
        <w:jc w:val="both"/>
        <w:rPr>
          <w:rFonts w:ascii="Times New Roman" w:eastAsia="Times New Roman" w:hAnsi="Times New Roman" w:cs="Times New Roman"/>
          <w:color w:val="000000"/>
          <w:sz w:val="24"/>
          <w:szCs w:val="24"/>
          <w:lang w:val="pt-BR"/>
        </w:rPr>
      </w:pPr>
      <w:r w:rsidRPr="00376E0A">
        <w:rPr>
          <w:rFonts w:ascii="Times New Roman" w:eastAsia="Times New Roman" w:hAnsi="Times New Roman" w:cs="Times New Roman"/>
          <w:color w:val="000000"/>
          <w:sz w:val="24"/>
          <w:szCs w:val="24"/>
          <w:highlight w:val="yellow"/>
          <w:lang w:val="pt-BR"/>
        </w:rPr>
        <w:t>OBSERVAÇÕES: Os móveis de</w:t>
      </w:r>
      <w:r>
        <w:rPr>
          <w:rFonts w:ascii="Times New Roman" w:eastAsia="Times New Roman" w:hAnsi="Times New Roman" w:cs="Times New Roman"/>
          <w:color w:val="000000"/>
          <w:sz w:val="24"/>
          <w:szCs w:val="24"/>
          <w:highlight w:val="yellow"/>
          <w:lang w:val="pt-BR"/>
        </w:rPr>
        <w:t xml:space="preserve">verão ser entregues e montados </w:t>
      </w:r>
      <w:r w:rsidRPr="00376E0A">
        <w:rPr>
          <w:rFonts w:ascii="Times New Roman" w:eastAsia="Times New Roman" w:hAnsi="Times New Roman" w:cs="Times New Roman"/>
          <w:color w:val="000000"/>
          <w:sz w:val="24"/>
          <w:szCs w:val="24"/>
          <w:highlight w:val="yellow"/>
          <w:lang w:val="pt-BR"/>
        </w:rPr>
        <w:t xml:space="preserve">pelo fornecedor, no Ed. Felix </w:t>
      </w:r>
      <w:proofErr w:type="spellStart"/>
      <w:r w:rsidRPr="00376E0A">
        <w:rPr>
          <w:rFonts w:ascii="Times New Roman" w:eastAsia="Times New Roman" w:hAnsi="Times New Roman" w:cs="Times New Roman"/>
          <w:color w:val="000000"/>
          <w:sz w:val="24"/>
          <w:szCs w:val="24"/>
          <w:highlight w:val="yellow"/>
          <w:lang w:val="pt-BR"/>
        </w:rPr>
        <w:t>Bonissoni</w:t>
      </w:r>
      <w:proofErr w:type="spellEnd"/>
      <w:r w:rsidRPr="00376E0A">
        <w:rPr>
          <w:rFonts w:ascii="Times New Roman" w:eastAsia="Times New Roman" w:hAnsi="Times New Roman" w:cs="Times New Roman"/>
          <w:color w:val="000000"/>
          <w:sz w:val="24"/>
          <w:szCs w:val="24"/>
          <w:highlight w:val="yellow"/>
          <w:lang w:val="pt-BR"/>
        </w:rPr>
        <w:t>, a Rua bento Gonçalves nº 220 – centro, Ipumirim – SC.</w:t>
      </w:r>
    </w:p>
    <w:p w:rsidR="00376E0A" w:rsidRPr="003232E9" w:rsidRDefault="00376E0A"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lastRenderedPageBreak/>
        <w:t xml:space="preserve">A participação na presente dispensa eletrônica se dará mediante Sistema de Dispensa Eletrônica integrante do Portal de Compras Públicas, disponível no endereço eletrônico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1"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2"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Edital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b) ANEXO II – </w:t>
      </w:r>
      <w:r w:rsidR="007E0AF0">
        <w:rPr>
          <w:rFonts w:ascii="Verdana" w:hAnsi="Verdana"/>
          <w:sz w:val="20"/>
          <w:szCs w:val="20"/>
        </w:rPr>
        <w:t>ESTUDO TÉCNICO PRELIMINAR</w:t>
      </w:r>
    </w:p>
    <w:p w:rsidR="00267538" w:rsidRDefault="00267538" w:rsidP="00267538">
      <w:pPr>
        <w:spacing w:line="276" w:lineRule="auto"/>
        <w:ind w:left="720"/>
        <w:jc w:val="both"/>
        <w:rPr>
          <w:rFonts w:ascii="Verdana" w:hAnsi="Verdana"/>
          <w:sz w:val="20"/>
          <w:szCs w:val="20"/>
        </w:rPr>
      </w:pPr>
      <w:r>
        <w:rPr>
          <w:rFonts w:ascii="Verdana" w:hAnsi="Verdana"/>
          <w:sz w:val="20"/>
          <w:szCs w:val="20"/>
        </w:rPr>
        <w:t>c</w:t>
      </w:r>
      <w:r w:rsidR="00101C6A">
        <w:rPr>
          <w:rFonts w:ascii="Verdana" w:hAnsi="Verdana"/>
          <w:sz w:val="20"/>
          <w:szCs w:val="20"/>
        </w:rPr>
        <w:t xml:space="preserve">) </w:t>
      </w:r>
      <w:r>
        <w:rPr>
          <w:rFonts w:ascii="Verdana" w:hAnsi="Verdana"/>
          <w:sz w:val="20"/>
          <w:szCs w:val="20"/>
        </w:rPr>
        <w:t xml:space="preserve">ANEXO III </w:t>
      </w:r>
      <w:r w:rsidR="007E0AF0">
        <w:rPr>
          <w:rFonts w:ascii="Verdana" w:hAnsi="Verdana"/>
          <w:sz w:val="20"/>
          <w:szCs w:val="20"/>
        </w:rPr>
        <w:t>–</w:t>
      </w:r>
      <w:r w:rsidR="00101C6A">
        <w:rPr>
          <w:rFonts w:ascii="Verdana" w:hAnsi="Verdana"/>
          <w:sz w:val="20"/>
          <w:szCs w:val="20"/>
        </w:rPr>
        <w:t xml:space="preserve"> </w:t>
      </w:r>
      <w:r w:rsidR="007E0AF0">
        <w:rPr>
          <w:rFonts w:ascii="Verdana" w:hAnsi="Verdana"/>
          <w:sz w:val="20"/>
          <w:szCs w:val="20"/>
        </w:rPr>
        <w:t>TERMO DE REFERÊNCIA</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B21957">
        <w:rPr>
          <w:rFonts w:ascii="Verdana" w:hAnsi="Verdana"/>
          <w:sz w:val="20"/>
          <w:szCs w:val="20"/>
        </w:rPr>
        <w:t xml:space="preserve">Ipumirim, </w:t>
      </w:r>
      <w:r w:rsidR="007E0AF0">
        <w:rPr>
          <w:rFonts w:ascii="Verdana" w:hAnsi="Verdana"/>
          <w:sz w:val="20"/>
          <w:szCs w:val="20"/>
        </w:rPr>
        <w:t>30</w:t>
      </w:r>
      <w:r w:rsidR="00F97930">
        <w:rPr>
          <w:rFonts w:ascii="Verdana" w:hAnsi="Verdana"/>
          <w:sz w:val="20"/>
          <w:szCs w:val="20"/>
        </w:rPr>
        <w:t xml:space="preserve"> </w:t>
      </w:r>
      <w:r w:rsidRPr="00B21957">
        <w:rPr>
          <w:rFonts w:ascii="Verdana" w:hAnsi="Verdana"/>
          <w:sz w:val="20"/>
          <w:szCs w:val="20"/>
        </w:rPr>
        <w:t xml:space="preserve">de </w:t>
      </w:r>
      <w:r w:rsidR="006318C6">
        <w:rPr>
          <w:rFonts w:ascii="Verdana" w:hAnsi="Verdana"/>
          <w:sz w:val="20"/>
          <w:szCs w:val="20"/>
        </w:rPr>
        <w:t>Setembro</w:t>
      </w:r>
      <w:r w:rsidRPr="00B21957">
        <w:rPr>
          <w:rFonts w:ascii="Verdana" w:hAnsi="Verdana"/>
          <w:sz w:val="20"/>
          <w:szCs w:val="20"/>
        </w:rPr>
        <w:t xml:space="preserve"> 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E3283F" w:rsidRPr="00E3283F" w:rsidRDefault="00E3283F" w:rsidP="00E3283F">
      <w:pPr>
        <w:spacing w:line="276" w:lineRule="auto"/>
        <w:jc w:val="center"/>
        <w:rPr>
          <w:rFonts w:ascii="Verdana" w:hAnsi="Verdana"/>
          <w:b/>
          <w:sz w:val="20"/>
          <w:szCs w:val="20"/>
        </w:rPr>
      </w:pPr>
      <w:r w:rsidRPr="00E3283F">
        <w:rPr>
          <w:rFonts w:ascii="Verdana" w:hAnsi="Verdana"/>
          <w:b/>
          <w:sz w:val="20"/>
          <w:szCs w:val="20"/>
        </w:rPr>
        <w:lastRenderedPageBreak/>
        <w:t>DISPENSA ELETRÔNICA 19/2024</w:t>
      </w:r>
    </w:p>
    <w:p w:rsidR="00E3283F" w:rsidRPr="00B21957" w:rsidRDefault="00E3283F" w:rsidP="00E3283F">
      <w:pPr>
        <w:spacing w:line="276" w:lineRule="auto"/>
        <w:jc w:val="center"/>
        <w:rPr>
          <w:rFonts w:ascii="Verdana" w:hAnsi="Verdana"/>
          <w:b/>
          <w:sz w:val="20"/>
          <w:szCs w:val="20"/>
        </w:rPr>
      </w:pPr>
      <w:r w:rsidRPr="00E3283F">
        <w:rPr>
          <w:rFonts w:ascii="Verdana" w:hAnsi="Verdana"/>
          <w:b/>
          <w:sz w:val="20"/>
          <w:szCs w:val="20"/>
        </w:rPr>
        <w:t>PROCESSO DE LICITAÇÃO 172/2024</w:t>
      </w:r>
    </w:p>
    <w:p w:rsidR="007D40C4" w:rsidRDefault="007D40C4" w:rsidP="007D40C4">
      <w:pPr>
        <w:spacing w:line="276" w:lineRule="auto"/>
        <w:rPr>
          <w:rFonts w:ascii="Verdana" w:hAnsi="Verdana"/>
          <w:b/>
          <w:sz w:val="20"/>
          <w:szCs w:val="20"/>
        </w:rPr>
      </w:pPr>
    </w:p>
    <w:p w:rsidR="007D40C4" w:rsidRDefault="00F42380" w:rsidP="007D40C4">
      <w:pPr>
        <w:spacing w:line="276" w:lineRule="auto"/>
        <w:jc w:val="center"/>
        <w:rPr>
          <w:rFonts w:ascii="Verdana" w:hAnsi="Verdana"/>
          <w:b/>
          <w:sz w:val="20"/>
          <w:szCs w:val="20"/>
        </w:rPr>
      </w:pPr>
      <w:r>
        <w:rPr>
          <w:rFonts w:ascii="Verdana" w:hAnsi="Verdana"/>
          <w:b/>
          <w:sz w:val="20"/>
          <w:szCs w:val="20"/>
        </w:rPr>
        <w:t>ANEXO I</w:t>
      </w:r>
    </w:p>
    <w:p w:rsidR="007E0AF0" w:rsidRDefault="007E0AF0" w:rsidP="007D40C4">
      <w:pPr>
        <w:spacing w:line="276" w:lineRule="auto"/>
        <w:jc w:val="center"/>
        <w:rPr>
          <w:rFonts w:ascii="Verdana" w:hAnsi="Verdana"/>
          <w:b/>
          <w:sz w:val="20"/>
          <w:szCs w:val="20"/>
        </w:rPr>
      </w:pPr>
    </w:p>
    <w:tbl>
      <w:tblPr>
        <w:tblW w:w="9375" w:type="dxa"/>
        <w:tblInd w:w="5"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600"/>
      </w:tblPr>
      <w:tblGrid>
        <w:gridCol w:w="5461"/>
        <w:gridCol w:w="3914"/>
      </w:tblGrid>
      <w:tr w:rsidR="002D6812" w:rsidRPr="002D6812" w:rsidTr="002D6812">
        <w:trPr>
          <w:cantSplit/>
          <w:trHeight w:val="281"/>
          <w:tblHeader/>
        </w:trPr>
        <w:tc>
          <w:tcPr>
            <w:tcW w:w="9374" w:type="dxa"/>
            <w:gridSpan w:val="2"/>
            <w:tcBorders>
              <w:top w:val="single" w:sz="4" w:space="0" w:color="948A54"/>
              <w:left w:val="single" w:sz="4" w:space="0" w:color="948A54"/>
              <w:bottom w:val="single" w:sz="4" w:space="0" w:color="948A54"/>
              <w:right w:val="single" w:sz="4" w:space="0" w:color="948A54"/>
            </w:tcBorders>
            <w:shd w:val="clear" w:color="auto" w:fill="1F497D"/>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DOCUMENTO DE FORMALIZAÇÃO DE DEMANDA</w:t>
            </w:r>
          </w:p>
        </w:tc>
      </w:tr>
      <w:tr w:rsidR="002D6812" w:rsidRPr="002D6812" w:rsidTr="002D6812">
        <w:trPr>
          <w:cantSplit/>
          <w:trHeight w:val="281"/>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 xml:space="preserve">  </w:t>
            </w:r>
            <w:proofErr w:type="gramStart"/>
            <w:r w:rsidRPr="002D6812">
              <w:rPr>
                <w:rFonts w:ascii="Times New Roman" w:eastAsia="Times New Roman" w:hAnsi="Times New Roman" w:cs="Times New Roman"/>
                <w:color w:val="000000"/>
                <w:sz w:val="24"/>
                <w:szCs w:val="24"/>
                <w:lang w:val="pt-BR"/>
              </w:rPr>
              <w:t>:</w:t>
            </w:r>
          </w:p>
        </w:tc>
        <w:proofErr w:type="gramEnd"/>
      </w:tr>
      <w:tr w:rsidR="002D6812" w:rsidRPr="002D6812" w:rsidTr="002D6812">
        <w:trPr>
          <w:cantSplit/>
          <w:trHeight w:val="469"/>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 xml:space="preserve">Órgão: Município de </w:t>
            </w:r>
            <w:proofErr w:type="spellStart"/>
            <w:r w:rsidRPr="002D6812">
              <w:rPr>
                <w:rFonts w:ascii="Times New Roman" w:eastAsia="Times New Roman" w:hAnsi="Times New Roman" w:cs="Times New Roman"/>
                <w:color w:val="000000"/>
                <w:sz w:val="24"/>
                <w:szCs w:val="24"/>
                <w:lang w:val="pt-BR"/>
              </w:rPr>
              <w:t>Ipumirm</w:t>
            </w:r>
            <w:proofErr w:type="spellEnd"/>
          </w:p>
        </w:tc>
      </w:tr>
      <w:tr w:rsidR="002D6812" w:rsidRPr="002D6812" w:rsidTr="002D6812">
        <w:trPr>
          <w:cantSplit/>
          <w:trHeight w:val="318"/>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Setor Requisitante: SECRETARIA MUNICIPAL. DE EDUCAÇÃO, CULTURA E ESPORTES</w:t>
            </w:r>
          </w:p>
        </w:tc>
      </w:tr>
      <w:tr w:rsidR="002D6812" w:rsidRPr="002D6812" w:rsidTr="002D6812">
        <w:trPr>
          <w:cantSplit/>
          <w:trHeight w:val="294"/>
          <w:tblHeader/>
        </w:trPr>
        <w:tc>
          <w:tcPr>
            <w:tcW w:w="5460" w:type="dxa"/>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 xml:space="preserve">Responsável pela Demanda: Salete </w:t>
            </w:r>
            <w:proofErr w:type="spellStart"/>
            <w:r w:rsidRPr="002D6812">
              <w:rPr>
                <w:rFonts w:ascii="Times New Roman" w:eastAsia="Times New Roman" w:hAnsi="Times New Roman" w:cs="Times New Roman"/>
                <w:color w:val="000000"/>
                <w:sz w:val="24"/>
                <w:szCs w:val="24"/>
                <w:lang w:val="pt-BR"/>
              </w:rPr>
              <w:t>Ines</w:t>
            </w:r>
            <w:proofErr w:type="spellEnd"/>
            <w:r w:rsidRPr="002D6812">
              <w:rPr>
                <w:rFonts w:ascii="Times New Roman" w:eastAsia="Times New Roman" w:hAnsi="Times New Roman" w:cs="Times New Roman"/>
                <w:color w:val="000000"/>
                <w:sz w:val="24"/>
                <w:szCs w:val="24"/>
                <w:lang w:val="pt-BR"/>
              </w:rPr>
              <w:t xml:space="preserve"> </w:t>
            </w:r>
            <w:proofErr w:type="spellStart"/>
            <w:r w:rsidRPr="002D6812">
              <w:rPr>
                <w:rFonts w:ascii="Times New Roman" w:eastAsia="Times New Roman" w:hAnsi="Times New Roman" w:cs="Times New Roman"/>
                <w:color w:val="000000"/>
                <w:sz w:val="24"/>
                <w:szCs w:val="24"/>
                <w:lang w:val="pt-BR"/>
              </w:rPr>
              <w:t>Lecardelli</w:t>
            </w:r>
            <w:proofErr w:type="spellEnd"/>
          </w:p>
        </w:tc>
        <w:tc>
          <w:tcPr>
            <w:tcW w:w="3914" w:type="dxa"/>
            <w:tcBorders>
              <w:top w:val="single" w:sz="4" w:space="0" w:color="948A54"/>
              <w:left w:val="single" w:sz="4" w:space="0" w:color="948A54"/>
              <w:bottom w:val="single" w:sz="4" w:space="0" w:color="948A54"/>
              <w:right w:val="single" w:sz="4" w:space="0" w:color="948A54"/>
            </w:tcBorders>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p>
        </w:tc>
      </w:tr>
      <w:tr w:rsidR="002D6812" w:rsidRPr="002D6812" w:rsidTr="002D6812">
        <w:trPr>
          <w:cantSplit/>
          <w:trHeight w:val="611"/>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 xml:space="preserve">1. Objeto: </w:t>
            </w:r>
            <w:proofErr w:type="spellStart"/>
            <w:r w:rsidRPr="002D6812">
              <w:rPr>
                <w:rFonts w:ascii="Times New Roman" w:eastAsia="Times New Roman" w:hAnsi="Times New Roman" w:cs="Times New Roman"/>
                <w:color w:val="000000"/>
                <w:sz w:val="24"/>
                <w:szCs w:val="24"/>
                <w:lang w:val="pt-BR"/>
              </w:rPr>
              <w:t>aquisiação</w:t>
            </w:r>
            <w:proofErr w:type="spellEnd"/>
            <w:r w:rsidRPr="002D6812">
              <w:rPr>
                <w:rFonts w:ascii="Times New Roman" w:eastAsia="Times New Roman" w:hAnsi="Times New Roman" w:cs="Times New Roman"/>
                <w:color w:val="000000"/>
                <w:sz w:val="24"/>
                <w:szCs w:val="24"/>
                <w:lang w:val="pt-BR"/>
              </w:rPr>
              <w:t xml:space="preserve"> de bens móveis e equipamentos para o Museu Comunitário.</w:t>
            </w:r>
          </w:p>
        </w:tc>
      </w:tr>
      <w:tr w:rsidR="002D6812" w:rsidRPr="002D6812" w:rsidTr="002D6812">
        <w:trPr>
          <w:cantSplit/>
          <w:trHeight w:val="745"/>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2. Justificativa da necessidade da contratação: A aquisição dos referidos bens se fazem necessário uma vez que o museu dispõe de pouco espaço para exposição das peças/objetos, necessitando de alguns</w:t>
            </w:r>
            <w:proofErr w:type="gramStart"/>
            <w:r w:rsidRPr="002D6812">
              <w:rPr>
                <w:rFonts w:ascii="Times New Roman" w:eastAsia="Times New Roman" w:hAnsi="Times New Roman" w:cs="Times New Roman"/>
                <w:color w:val="000000"/>
                <w:sz w:val="24"/>
                <w:szCs w:val="24"/>
                <w:lang w:val="pt-BR"/>
              </w:rPr>
              <w:t xml:space="preserve">  </w:t>
            </w:r>
            <w:proofErr w:type="gramEnd"/>
            <w:r w:rsidRPr="002D6812">
              <w:rPr>
                <w:rFonts w:ascii="Times New Roman" w:eastAsia="Times New Roman" w:hAnsi="Times New Roman" w:cs="Times New Roman"/>
                <w:color w:val="000000"/>
                <w:sz w:val="24"/>
                <w:szCs w:val="24"/>
                <w:lang w:val="pt-BR"/>
              </w:rPr>
              <w:t>dos móveis para melhorar o aspecto da exposição das peças, fazendo com que haja uma melhor aproveitamento do espaço e melhores condições de exposição.</w:t>
            </w:r>
          </w:p>
        </w:tc>
      </w:tr>
      <w:tr w:rsidR="002D6812" w:rsidRPr="002D6812" w:rsidTr="002D6812">
        <w:trPr>
          <w:cantSplit/>
          <w:trHeight w:val="2173"/>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3. Descrições e quantidades</w:t>
            </w:r>
          </w:p>
          <w:tbl>
            <w:tblPr>
              <w:tblW w:w="921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600"/>
            </w:tblPr>
            <w:tblGrid>
              <w:gridCol w:w="702"/>
              <w:gridCol w:w="5957"/>
              <w:gridCol w:w="1134"/>
              <w:gridCol w:w="1417"/>
            </w:tblGrid>
            <w:tr w:rsidR="002D6812" w:rsidRPr="002D6812" w:rsidTr="002D6812">
              <w:trPr>
                <w:cantSplit/>
                <w:trHeight w:val="252"/>
                <w:tblHeader/>
              </w:trPr>
              <w:tc>
                <w:tcPr>
                  <w:tcW w:w="702"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ITEM</w:t>
                  </w:r>
                </w:p>
              </w:tc>
              <w:tc>
                <w:tcPr>
                  <w:tcW w:w="5956"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DESCRIÇÃO/ESPECIFICAÇÃO</w:t>
                  </w:r>
                </w:p>
              </w:tc>
              <w:tc>
                <w:tcPr>
                  <w:tcW w:w="1134"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UNIDADE</w:t>
                  </w:r>
                </w:p>
              </w:tc>
              <w:tc>
                <w:tcPr>
                  <w:tcW w:w="1417"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QUANTIDADE</w:t>
                  </w:r>
                </w:p>
              </w:tc>
            </w:tr>
            <w:tr w:rsidR="002D6812" w:rsidRPr="002D6812" w:rsidTr="002D6812">
              <w:trPr>
                <w:cantSplit/>
                <w:trHeight w:val="285"/>
                <w:tblHeader/>
              </w:trPr>
              <w:tc>
                <w:tcPr>
                  <w:tcW w:w="702" w:type="dxa"/>
                  <w:tcBorders>
                    <w:top w:val="single" w:sz="4" w:space="0" w:color="E36C0A"/>
                    <w:left w:val="single" w:sz="4" w:space="0" w:color="E36C0A"/>
                    <w:bottom w:val="single" w:sz="4" w:space="0" w:color="E36C0A"/>
                    <w:right w:val="single" w:sz="4" w:space="0" w:color="E36C0A"/>
                  </w:tcBorders>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1</w:t>
                  </w:r>
                  <w:proofErr w:type="gramEnd"/>
                </w:p>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
              </w:tc>
              <w:tc>
                <w:tcPr>
                  <w:tcW w:w="5956"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lang w:val="pt-BR"/>
                    </w:rPr>
                    <w:t xml:space="preserve">Mesa em MDF, com comprimento de 1.00 </w:t>
                  </w:r>
                  <w:proofErr w:type="spellStart"/>
                  <w:proofErr w:type="gramStart"/>
                  <w:r w:rsidRPr="002D6812">
                    <w:rPr>
                      <w:rFonts w:ascii="Times New Roman" w:eastAsia="Times New Roman" w:hAnsi="Times New Roman" w:cs="Times New Roman"/>
                      <w:color w:val="000000"/>
                      <w:lang w:val="pt-BR"/>
                    </w:rPr>
                    <w:t>Mt</w:t>
                  </w:r>
                  <w:proofErr w:type="spellEnd"/>
                  <w:proofErr w:type="gramEnd"/>
                  <w:r w:rsidRPr="002D6812">
                    <w:rPr>
                      <w:rFonts w:ascii="Times New Roman" w:eastAsia="Times New Roman" w:hAnsi="Times New Roman" w:cs="Times New Roman"/>
                      <w:color w:val="000000"/>
                      <w:lang w:val="pt-BR"/>
                    </w:rPr>
                    <w:t>, e largura de 0.60Cm, na cor marrom ou amadeirada e com pés em forma de cantoneira.</w:t>
                  </w:r>
                </w:p>
              </w:tc>
              <w:tc>
                <w:tcPr>
                  <w:tcW w:w="1134"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sz w:val="24"/>
                      <w:szCs w:val="24"/>
                      <w:lang w:val="pt-BR"/>
                    </w:rPr>
                    <w:t>Mesa</w:t>
                  </w:r>
                </w:p>
              </w:tc>
              <w:tc>
                <w:tcPr>
                  <w:tcW w:w="1417"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7</w:t>
                  </w:r>
                  <w:proofErr w:type="gramEnd"/>
                </w:p>
              </w:tc>
            </w:tr>
            <w:tr w:rsidR="002D6812" w:rsidRPr="002D6812" w:rsidTr="002D6812">
              <w:trPr>
                <w:cantSplit/>
                <w:trHeight w:val="285"/>
                <w:tblHeader/>
              </w:trPr>
              <w:tc>
                <w:tcPr>
                  <w:tcW w:w="702"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2</w:t>
                  </w:r>
                  <w:proofErr w:type="gramEnd"/>
                </w:p>
              </w:tc>
              <w:tc>
                <w:tcPr>
                  <w:tcW w:w="5956"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lang w:val="pt-BR"/>
                    </w:rPr>
                    <w:t xml:space="preserve">Roupeiro em MDP, com </w:t>
                  </w:r>
                  <w:proofErr w:type="gramStart"/>
                  <w:r w:rsidRPr="002D6812">
                    <w:rPr>
                      <w:rFonts w:ascii="Times New Roman" w:eastAsia="Times New Roman" w:hAnsi="Times New Roman" w:cs="Times New Roman"/>
                      <w:color w:val="000000"/>
                      <w:lang w:val="pt-BR"/>
                    </w:rPr>
                    <w:t>3</w:t>
                  </w:r>
                  <w:proofErr w:type="gramEnd"/>
                  <w:r w:rsidRPr="002D6812">
                    <w:rPr>
                      <w:rFonts w:ascii="Times New Roman" w:eastAsia="Times New Roman" w:hAnsi="Times New Roman" w:cs="Times New Roman"/>
                      <w:color w:val="000000"/>
                      <w:lang w:val="pt-BR"/>
                    </w:rPr>
                    <w:t xml:space="preserve"> portas e 2 Gavetas e 6 prateleiras, 1 </w:t>
                  </w:r>
                  <w:proofErr w:type="spellStart"/>
                  <w:r w:rsidRPr="002D6812">
                    <w:rPr>
                      <w:rFonts w:ascii="Times New Roman" w:eastAsia="Times New Roman" w:hAnsi="Times New Roman" w:cs="Times New Roman"/>
                      <w:color w:val="000000"/>
                      <w:lang w:val="pt-BR"/>
                    </w:rPr>
                    <w:t>cabideiro</w:t>
                  </w:r>
                  <w:proofErr w:type="spellEnd"/>
                  <w:r w:rsidRPr="002D6812">
                    <w:rPr>
                      <w:rFonts w:ascii="Times New Roman" w:eastAsia="Times New Roman" w:hAnsi="Times New Roman" w:cs="Times New Roman"/>
                      <w:color w:val="000000"/>
                      <w:lang w:val="pt-BR"/>
                    </w:rPr>
                    <w:t>. Com altura de 1.80, com largura de 0.80 Cm e profundidade de 0.46 Cm, na cor amêndoa</w:t>
                  </w:r>
                </w:p>
              </w:tc>
              <w:tc>
                <w:tcPr>
                  <w:tcW w:w="1134"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proofErr w:type="spellStart"/>
                  <w:r w:rsidRPr="002D6812">
                    <w:rPr>
                      <w:rFonts w:ascii="Times New Roman" w:eastAsia="Times New Roman" w:hAnsi="Times New Roman" w:cs="Times New Roman"/>
                      <w:color w:val="000000"/>
                      <w:sz w:val="24"/>
                      <w:szCs w:val="24"/>
                      <w:lang w:val="pt-BR"/>
                    </w:rPr>
                    <w:t>Roup</w:t>
                  </w:r>
                  <w:proofErr w:type="spellEnd"/>
                  <w:r w:rsidRPr="002D6812">
                    <w:rPr>
                      <w:rFonts w:ascii="Times New Roman" w:eastAsia="Times New Roman" w:hAnsi="Times New Roman" w:cs="Times New Roman"/>
                      <w:color w:val="000000"/>
                      <w:sz w:val="24"/>
                      <w:szCs w:val="24"/>
                      <w:lang w:val="pt-BR"/>
                    </w:rPr>
                    <w:t>.</w:t>
                  </w:r>
                </w:p>
              </w:tc>
              <w:tc>
                <w:tcPr>
                  <w:tcW w:w="1417"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2</w:t>
                  </w:r>
                  <w:proofErr w:type="gramEnd"/>
                </w:p>
              </w:tc>
            </w:tr>
            <w:tr w:rsidR="002D6812" w:rsidRPr="002D6812" w:rsidTr="002D6812">
              <w:trPr>
                <w:cantSplit/>
                <w:trHeight w:val="285"/>
                <w:tblHeader/>
              </w:trPr>
              <w:tc>
                <w:tcPr>
                  <w:tcW w:w="702"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3</w:t>
                  </w:r>
                  <w:proofErr w:type="gramEnd"/>
                </w:p>
              </w:tc>
              <w:tc>
                <w:tcPr>
                  <w:tcW w:w="5956"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lang w:val="pt-BR"/>
                    </w:rPr>
                    <w:t xml:space="preserve">Estante – Livreiro rústico em madeira de pinus, na cor marrom. Com altura de </w:t>
                  </w:r>
                  <w:proofErr w:type="gramStart"/>
                  <w:r w:rsidRPr="002D6812">
                    <w:rPr>
                      <w:rFonts w:ascii="Times New Roman" w:eastAsia="Times New Roman" w:hAnsi="Times New Roman" w:cs="Times New Roman"/>
                      <w:color w:val="000000"/>
                      <w:lang w:val="pt-BR"/>
                    </w:rPr>
                    <w:t xml:space="preserve">2.00 </w:t>
                  </w:r>
                  <w:proofErr w:type="spellStart"/>
                  <w:r w:rsidRPr="002D6812">
                    <w:rPr>
                      <w:rFonts w:ascii="Times New Roman" w:eastAsia="Times New Roman" w:hAnsi="Times New Roman" w:cs="Times New Roman"/>
                      <w:color w:val="000000"/>
                      <w:lang w:val="pt-BR"/>
                    </w:rPr>
                    <w:t>Mts</w:t>
                  </w:r>
                  <w:proofErr w:type="spellEnd"/>
                  <w:proofErr w:type="gramEnd"/>
                  <w:r w:rsidRPr="002D6812">
                    <w:rPr>
                      <w:rFonts w:ascii="Times New Roman" w:eastAsia="Times New Roman" w:hAnsi="Times New Roman" w:cs="Times New Roman"/>
                      <w:color w:val="000000"/>
                      <w:lang w:val="pt-BR"/>
                    </w:rPr>
                    <w:t xml:space="preserve"> e comprimento de 0.74 Cm e profundidade de 0.35 Cm, fechada no fundo e com 4 prateleiras.</w:t>
                  </w:r>
                </w:p>
              </w:tc>
              <w:tc>
                <w:tcPr>
                  <w:tcW w:w="1134"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sz w:val="24"/>
                      <w:szCs w:val="24"/>
                      <w:lang w:val="pt-BR"/>
                    </w:rPr>
                    <w:t>Estante</w:t>
                  </w:r>
                </w:p>
              </w:tc>
              <w:tc>
                <w:tcPr>
                  <w:tcW w:w="1417"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3</w:t>
                  </w:r>
                  <w:proofErr w:type="gramEnd"/>
                </w:p>
              </w:tc>
            </w:tr>
            <w:tr w:rsidR="002D6812" w:rsidRPr="002D6812" w:rsidTr="002D6812">
              <w:trPr>
                <w:cantSplit/>
                <w:trHeight w:val="285"/>
                <w:tblHeader/>
              </w:trPr>
              <w:tc>
                <w:tcPr>
                  <w:tcW w:w="702"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4</w:t>
                  </w:r>
                  <w:proofErr w:type="gramEnd"/>
                </w:p>
              </w:tc>
              <w:tc>
                <w:tcPr>
                  <w:tcW w:w="5956"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lang w:val="pt-BR"/>
                    </w:rPr>
                    <w:t xml:space="preserve">Estante – Livreiro rústico em MDP, na marrom. Com altura de </w:t>
                  </w:r>
                  <w:proofErr w:type="gramStart"/>
                  <w:r w:rsidRPr="002D6812">
                    <w:rPr>
                      <w:rFonts w:ascii="Times New Roman" w:eastAsia="Times New Roman" w:hAnsi="Times New Roman" w:cs="Times New Roman"/>
                      <w:color w:val="000000"/>
                      <w:lang w:val="pt-BR"/>
                    </w:rPr>
                    <w:t xml:space="preserve">1.78 </w:t>
                  </w:r>
                  <w:proofErr w:type="spellStart"/>
                  <w:r w:rsidRPr="002D6812">
                    <w:rPr>
                      <w:rFonts w:ascii="Times New Roman" w:eastAsia="Times New Roman" w:hAnsi="Times New Roman" w:cs="Times New Roman"/>
                      <w:color w:val="000000"/>
                      <w:lang w:val="pt-BR"/>
                    </w:rPr>
                    <w:t>Mts</w:t>
                  </w:r>
                  <w:proofErr w:type="spellEnd"/>
                  <w:proofErr w:type="gramEnd"/>
                  <w:r w:rsidRPr="002D6812">
                    <w:rPr>
                      <w:rFonts w:ascii="Times New Roman" w:eastAsia="Times New Roman" w:hAnsi="Times New Roman" w:cs="Times New Roman"/>
                      <w:color w:val="000000"/>
                      <w:lang w:val="pt-BR"/>
                    </w:rPr>
                    <w:t xml:space="preserve"> e largura de  0.50 Cm e profundidade de 0.35 Cm, com 4 prateleiras.</w:t>
                  </w:r>
                </w:p>
              </w:tc>
              <w:tc>
                <w:tcPr>
                  <w:tcW w:w="1134"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sz w:val="24"/>
                      <w:szCs w:val="24"/>
                      <w:lang w:val="pt-BR"/>
                    </w:rPr>
                    <w:t>Estante</w:t>
                  </w:r>
                </w:p>
              </w:tc>
              <w:tc>
                <w:tcPr>
                  <w:tcW w:w="1417" w:type="dxa"/>
                  <w:tcBorders>
                    <w:top w:val="single" w:sz="4" w:space="0" w:color="E36C0A"/>
                    <w:left w:val="single" w:sz="4" w:space="0" w:color="E36C0A"/>
                    <w:bottom w:val="single" w:sz="4" w:space="0" w:color="E36C0A"/>
                    <w:right w:val="single" w:sz="4" w:space="0" w:color="E36C0A"/>
                  </w:tcBorders>
                  <w:hideMark/>
                </w:tcPr>
                <w:p w:rsidR="002D6812" w:rsidRPr="002D6812" w:rsidRDefault="002D6812" w:rsidP="002D6812">
                  <w:pPr>
                    <w:tabs>
                      <w:tab w:val="left" w:pos="6521"/>
                    </w:tabs>
                    <w:autoSpaceDE/>
                    <w:autoSpaceDN/>
                    <w:spacing w:line="276" w:lineRule="auto"/>
                    <w:jc w:val="center"/>
                    <w:rPr>
                      <w:rFonts w:ascii="Times New Roman" w:eastAsia="Times New Roman" w:hAnsi="Times New Roman" w:cs="Times New Roman"/>
                      <w:color w:val="000000"/>
                      <w:sz w:val="24"/>
                      <w:szCs w:val="24"/>
                      <w:lang w:val="pt-BR"/>
                    </w:rPr>
                  </w:pPr>
                  <w:proofErr w:type="gramStart"/>
                  <w:r w:rsidRPr="002D6812">
                    <w:rPr>
                      <w:rFonts w:ascii="Times New Roman" w:eastAsia="Times New Roman" w:hAnsi="Times New Roman" w:cs="Times New Roman"/>
                      <w:color w:val="000000"/>
                      <w:sz w:val="24"/>
                      <w:szCs w:val="24"/>
                      <w:lang w:val="pt-BR"/>
                    </w:rPr>
                    <w:t>3</w:t>
                  </w:r>
                  <w:proofErr w:type="gramEnd"/>
                </w:p>
              </w:tc>
            </w:tr>
          </w:tbl>
          <w:p w:rsidR="002D6812" w:rsidRPr="002D6812" w:rsidRDefault="002D6812" w:rsidP="002D6812">
            <w:pPr>
              <w:autoSpaceDE/>
              <w:autoSpaceDN/>
              <w:spacing w:line="276" w:lineRule="auto"/>
              <w:rPr>
                <w:rFonts w:ascii="Times New Roman" w:eastAsia="Times New Roman" w:hAnsi="Times New Roman" w:cs="Times New Roman"/>
                <w:color w:val="000000"/>
                <w:sz w:val="24"/>
                <w:szCs w:val="24"/>
                <w:lang w:val="pt-BR"/>
              </w:rPr>
            </w:pPr>
          </w:p>
        </w:tc>
      </w:tr>
      <w:tr w:rsidR="002D6812" w:rsidRPr="002D6812" w:rsidTr="002D6812">
        <w:trPr>
          <w:cantSplit/>
          <w:trHeight w:val="329"/>
          <w:tblHeader/>
        </w:trPr>
        <w:tc>
          <w:tcPr>
            <w:tcW w:w="9374" w:type="dxa"/>
            <w:gridSpan w:val="2"/>
            <w:tcBorders>
              <w:top w:val="single" w:sz="4" w:space="0" w:color="948A54"/>
              <w:left w:val="single" w:sz="4" w:space="0" w:color="948A54"/>
              <w:bottom w:val="single" w:sz="4" w:space="0" w:color="948A54"/>
              <w:right w:val="single" w:sz="4" w:space="0" w:color="948A54"/>
            </w:tcBorders>
          </w:tcPr>
          <w:p w:rsidR="002D6812" w:rsidRPr="002D6812" w:rsidRDefault="002D6812" w:rsidP="002D6812">
            <w:pPr>
              <w:widowControl/>
              <w:numPr>
                <w:ilvl w:val="0"/>
                <w:numId w:val="23"/>
              </w:numPr>
              <w:tabs>
                <w:tab w:val="left" w:pos="6521"/>
              </w:tabs>
              <w:autoSpaceDE/>
              <w:autoSpaceDN/>
              <w:spacing w:after="200"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Grau de prioridade da compra: Alto.</w:t>
            </w:r>
            <w:r w:rsidRPr="002D6812">
              <w:rPr>
                <w:rFonts w:ascii="Times New Roman" w:eastAsia="Times New Roman" w:hAnsi="Times New Roman" w:cs="Times New Roman"/>
                <w:b/>
                <w:lang w:val="pt-BR"/>
              </w:rPr>
              <w:t xml:space="preserve"> :</w:t>
            </w:r>
            <w:r w:rsidRPr="002D6812">
              <w:rPr>
                <w:rFonts w:ascii="Times New Roman" w:eastAsia="Times New Roman" w:hAnsi="Times New Roman" w:cs="Times New Roman"/>
                <w:lang w:val="pt-BR"/>
              </w:rPr>
              <w:t xml:space="preserve"> </w:t>
            </w:r>
          </w:p>
          <w:p w:rsidR="002D6812" w:rsidRPr="002D6812" w:rsidRDefault="002D6812" w:rsidP="002D6812">
            <w:pPr>
              <w:widowControl/>
              <w:numPr>
                <w:ilvl w:val="0"/>
                <w:numId w:val="23"/>
              </w:numPr>
              <w:tabs>
                <w:tab w:val="left" w:pos="6521"/>
              </w:tabs>
              <w:autoSpaceDE/>
              <w:autoSpaceDN/>
              <w:spacing w:after="200" w:line="276" w:lineRule="auto"/>
              <w:jc w:val="both"/>
              <w:rPr>
                <w:rFonts w:ascii="Times New Roman" w:eastAsia="Times New Roman" w:hAnsi="Times New Roman" w:cs="Times New Roman"/>
                <w:lang w:val="pt-BR"/>
              </w:rPr>
            </w:pPr>
          </w:p>
        </w:tc>
      </w:tr>
      <w:tr w:rsidR="002D6812" w:rsidRPr="002D6812" w:rsidTr="002D6812">
        <w:trPr>
          <w:cantSplit/>
          <w:trHeight w:val="329"/>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5. Necessita de análise de riscos:</w:t>
            </w:r>
          </w:p>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proofErr w:type="gramStart"/>
            <w:r w:rsidRPr="002D6812">
              <w:rPr>
                <w:rFonts w:ascii="Times New Roman" w:eastAsia="Times New Roman" w:hAnsi="Times New Roman" w:cs="Times New Roman"/>
                <w:color w:val="000000"/>
                <w:sz w:val="24"/>
                <w:szCs w:val="24"/>
                <w:lang w:val="pt-BR"/>
              </w:rPr>
              <w:t xml:space="preserve">(   </w:t>
            </w:r>
            <w:proofErr w:type="gramEnd"/>
            <w:r w:rsidRPr="002D6812">
              <w:rPr>
                <w:rFonts w:ascii="Times New Roman" w:eastAsia="Times New Roman" w:hAnsi="Times New Roman" w:cs="Times New Roman"/>
                <w:color w:val="000000"/>
                <w:sz w:val="24"/>
                <w:szCs w:val="24"/>
                <w:lang w:val="pt-BR"/>
              </w:rPr>
              <w:t>) SIM                                                            ( X ) Não</w:t>
            </w:r>
          </w:p>
        </w:tc>
      </w:tr>
      <w:tr w:rsidR="002D6812" w:rsidRPr="002D6812" w:rsidTr="002D6812">
        <w:trPr>
          <w:cantSplit/>
          <w:trHeight w:val="329"/>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6. Previsão no PCA</w:t>
            </w:r>
          </w:p>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proofErr w:type="gramStart"/>
            <w:r w:rsidRPr="002D6812">
              <w:rPr>
                <w:rFonts w:ascii="Times New Roman" w:eastAsia="Times New Roman" w:hAnsi="Times New Roman" w:cs="Times New Roman"/>
                <w:color w:val="000000"/>
                <w:sz w:val="24"/>
                <w:szCs w:val="24"/>
                <w:lang w:val="pt-BR"/>
              </w:rPr>
              <w:t xml:space="preserve">(   </w:t>
            </w:r>
            <w:proofErr w:type="gramEnd"/>
            <w:r w:rsidRPr="002D6812">
              <w:rPr>
                <w:rFonts w:ascii="Times New Roman" w:eastAsia="Times New Roman" w:hAnsi="Times New Roman" w:cs="Times New Roman"/>
                <w:color w:val="000000"/>
                <w:sz w:val="24"/>
                <w:szCs w:val="24"/>
                <w:lang w:val="pt-BR"/>
              </w:rPr>
              <w:t>) SIM Descrição: _______________________   ( X) Não, precisa incluir</w:t>
            </w:r>
          </w:p>
        </w:tc>
      </w:tr>
      <w:tr w:rsidR="002D6812" w:rsidRPr="002D6812" w:rsidTr="002D6812">
        <w:trPr>
          <w:cantSplit/>
          <w:trHeight w:val="340"/>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7. Estimativa de valor: 6.842,00</w:t>
            </w:r>
          </w:p>
        </w:tc>
      </w:tr>
      <w:tr w:rsidR="002D6812" w:rsidRPr="002D6812" w:rsidTr="002D6812">
        <w:trPr>
          <w:cantSplit/>
          <w:trHeight w:val="109"/>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8. Prazo de entrega/ execução: 30 dias</w:t>
            </w:r>
          </w:p>
        </w:tc>
      </w:tr>
      <w:tr w:rsidR="002D6812" w:rsidRPr="002D6812" w:rsidTr="002D6812">
        <w:trPr>
          <w:cantSplit/>
          <w:trHeight w:val="109"/>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lastRenderedPageBreak/>
              <w:t>9. Recursos orçamentários: Recursos próprios da Lei Aldir Blanc, previamente destinados para esse fim</w:t>
            </w:r>
          </w:p>
        </w:tc>
      </w:tr>
      <w:tr w:rsidR="002D6812" w:rsidRPr="002D6812" w:rsidTr="002D6812">
        <w:trPr>
          <w:cantSplit/>
          <w:trHeight w:val="295"/>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10. Local e horário da entrega/execução: Secretaria Municipal de Educação, Cultura e Esportes.</w:t>
            </w:r>
          </w:p>
        </w:tc>
      </w:tr>
      <w:tr w:rsidR="002D6812" w:rsidRPr="002D6812" w:rsidTr="002D6812">
        <w:trPr>
          <w:cantSplit/>
          <w:trHeight w:val="588"/>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11. Vinculado ou dependente da contratação de outro Documento de Formalização de Demanda: não</w:t>
            </w:r>
          </w:p>
        </w:tc>
      </w:tr>
      <w:tr w:rsidR="002D6812" w:rsidRPr="002D6812" w:rsidTr="002D6812">
        <w:trPr>
          <w:cantSplit/>
          <w:trHeight w:val="464"/>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shd w:val="clear" w:color="auto" w:fill="FFFFFF"/>
              <w:tabs>
                <w:tab w:val="left" w:pos="6521"/>
              </w:tabs>
              <w:autoSpaceDE/>
              <w:autoSpaceDN/>
              <w:spacing w:line="276" w:lineRule="auto"/>
              <w:jc w:val="both"/>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sz w:val="24"/>
                <w:szCs w:val="24"/>
                <w:lang w:val="pt-BR"/>
              </w:rPr>
              <w:t xml:space="preserve">12. Indicação do fiscal do contrato ou servidor que fará a liquidação da despesa: Fernando Henrique </w:t>
            </w:r>
            <w:proofErr w:type="spellStart"/>
            <w:r w:rsidRPr="002D6812">
              <w:rPr>
                <w:rFonts w:ascii="Times New Roman" w:eastAsia="Times New Roman" w:hAnsi="Times New Roman" w:cs="Times New Roman"/>
                <w:color w:val="000000"/>
                <w:sz w:val="24"/>
                <w:szCs w:val="24"/>
                <w:lang w:val="pt-BR"/>
              </w:rPr>
              <w:t>Tecchio</w:t>
            </w:r>
            <w:proofErr w:type="spellEnd"/>
            <w:r w:rsidRPr="002D6812">
              <w:rPr>
                <w:rFonts w:ascii="Times New Roman" w:eastAsia="Times New Roman" w:hAnsi="Times New Roman" w:cs="Times New Roman"/>
                <w:color w:val="000000"/>
                <w:sz w:val="24"/>
                <w:szCs w:val="24"/>
                <w:lang w:val="pt-BR"/>
              </w:rPr>
              <w:t xml:space="preserve"> da Silva</w:t>
            </w:r>
          </w:p>
        </w:tc>
      </w:tr>
      <w:tr w:rsidR="002D6812" w:rsidRPr="002D6812" w:rsidTr="002D6812">
        <w:trPr>
          <w:cantSplit/>
          <w:trHeight w:val="1025"/>
          <w:tblHeader/>
        </w:trPr>
        <w:tc>
          <w:tcPr>
            <w:tcW w:w="9374" w:type="dxa"/>
            <w:gridSpan w:val="2"/>
            <w:tcBorders>
              <w:top w:val="single" w:sz="4" w:space="0" w:color="948A54"/>
              <w:left w:val="single" w:sz="4" w:space="0" w:color="948A54"/>
              <w:bottom w:val="single" w:sz="4" w:space="0" w:color="948A54"/>
              <w:right w:val="single" w:sz="4" w:space="0" w:color="948A54"/>
            </w:tcBorders>
          </w:tcPr>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lang w:val="pt-BR"/>
              </w:rPr>
            </w:pPr>
            <w:r w:rsidRPr="002D6812">
              <w:rPr>
                <w:rFonts w:ascii="Times New Roman" w:eastAsia="Times New Roman" w:hAnsi="Times New Roman" w:cs="Times New Roman"/>
                <w:color w:val="000000"/>
                <w:sz w:val="24"/>
                <w:szCs w:val="24"/>
                <w:lang w:val="pt-BR"/>
              </w:rPr>
              <w:t>Ipumirim, 27 de setembro</w:t>
            </w:r>
            <w:proofErr w:type="gramStart"/>
            <w:r w:rsidRPr="002D6812">
              <w:rPr>
                <w:rFonts w:ascii="Times New Roman" w:eastAsia="Times New Roman" w:hAnsi="Times New Roman" w:cs="Times New Roman"/>
                <w:color w:val="000000"/>
                <w:sz w:val="24"/>
                <w:szCs w:val="24"/>
                <w:lang w:val="pt-BR"/>
              </w:rPr>
              <w:t xml:space="preserve">  </w:t>
            </w:r>
            <w:proofErr w:type="gramEnd"/>
            <w:r w:rsidRPr="002D6812">
              <w:rPr>
                <w:rFonts w:ascii="Times New Roman" w:eastAsia="Times New Roman" w:hAnsi="Times New Roman" w:cs="Times New Roman"/>
                <w:color w:val="000000"/>
                <w:sz w:val="24"/>
                <w:szCs w:val="24"/>
                <w:lang w:val="pt-BR"/>
              </w:rPr>
              <w:t>de 2024</w:t>
            </w:r>
          </w:p>
          <w:p w:rsidR="002D6812" w:rsidRPr="002D6812" w:rsidRDefault="002D6812" w:rsidP="002D6812">
            <w:pPr>
              <w:tabs>
                <w:tab w:val="left" w:pos="6521"/>
              </w:tabs>
              <w:autoSpaceDE/>
              <w:autoSpaceDN/>
              <w:spacing w:line="276" w:lineRule="auto"/>
              <w:jc w:val="both"/>
              <w:rPr>
                <w:rFonts w:ascii="Times New Roman" w:eastAsia="Times New Roman" w:hAnsi="Times New Roman" w:cs="Times New Roman"/>
                <w:color w:val="000000"/>
                <w:sz w:val="24"/>
                <w:szCs w:val="24"/>
                <w:lang w:val="pt-BR"/>
              </w:rPr>
            </w:pPr>
          </w:p>
          <w:p w:rsidR="002D6812" w:rsidRPr="002D6812" w:rsidRDefault="002D6812" w:rsidP="002D6812">
            <w:pPr>
              <w:shd w:val="clear" w:color="auto" w:fill="FFFFFF"/>
              <w:tabs>
                <w:tab w:val="left" w:pos="6521"/>
              </w:tabs>
              <w:autoSpaceDE/>
              <w:autoSpaceDN/>
              <w:spacing w:line="276" w:lineRule="auto"/>
              <w:jc w:val="center"/>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sz w:val="24"/>
                <w:szCs w:val="24"/>
                <w:lang w:val="pt-BR"/>
              </w:rPr>
              <w:t xml:space="preserve">Salete Inês </w:t>
            </w:r>
            <w:proofErr w:type="spellStart"/>
            <w:r w:rsidRPr="002D6812">
              <w:rPr>
                <w:rFonts w:ascii="Times New Roman" w:eastAsia="Times New Roman" w:hAnsi="Times New Roman" w:cs="Times New Roman"/>
                <w:color w:val="000000"/>
                <w:sz w:val="24"/>
                <w:szCs w:val="24"/>
                <w:lang w:val="pt-BR"/>
              </w:rPr>
              <w:t>Lecardelli</w:t>
            </w:r>
            <w:proofErr w:type="spellEnd"/>
          </w:p>
          <w:p w:rsidR="002D6812" w:rsidRPr="002D6812" w:rsidRDefault="002D6812" w:rsidP="002D6812">
            <w:pPr>
              <w:shd w:val="clear" w:color="auto" w:fill="FFFFFF"/>
              <w:tabs>
                <w:tab w:val="left" w:pos="6521"/>
              </w:tabs>
              <w:autoSpaceDE/>
              <w:autoSpaceDN/>
              <w:spacing w:line="276" w:lineRule="auto"/>
              <w:jc w:val="center"/>
              <w:rPr>
                <w:rFonts w:ascii="Times New Roman" w:eastAsia="Times New Roman" w:hAnsi="Times New Roman" w:cs="Times New Roman"/>
                <w:color w:val="000000"/>
                <w:sz w:val="24"/>
                <w:szCs w:val="24"/>
                <w:lang w:val="pt-BR"/>
              </w:rPr>
            </w:pPr>
            <w:r w:rsidRPr="002D6812">
              <w:rPr>
                <w:rFonts w:ascii="Times New Roman" w:eastAsia="Times New Roman" w:hAnsi="Times New Roman" w:cs="Times New Roman"/>
                <w:color w:val="000000"/>
                <w:sz w:val="24"/>
                <w:szCs w:val="24"/>
                <w:lang w:val="pt-BR"/>
              </w:rPr>
              <w:t>Secretária Municipal de Educação, Cultura e Esportes</w:t>
            </w:r>
          </w:p>
        </w:tc>
      </w:tr>
      <w:tr w:rsidR="002D6812" w:rsidRPr="002D6812" w:rsidTr="002D6812">
        <w:trPr>
          <w:cantSplit/>
          <w:trHeight w:val="20"/>
          <w:tblHeader/>
        </w:trPr>
        <w:tc>
          <w:tcPr>
            <w:tcW w:w="9374" w:type="dxa"/>
            <w:gridSpan w:val="2"/>
            <w:tcBorders>
              <w:top w:val="single" w:sz="4" w:space="0" w:color="948A54"/>
              <w:left w:val="single" w:sz="4" w:space="0" w:color="948A54"/>
              <w:bottom w:val="single" w:sz="4" w:space="0" w:color="948A54"/>
              <w:right w:val="single" w:sz="4" w:space="0" w:color="948A54"/>
            </w:tcBorders>
            <w:hideMark/>
          </w:tcPr>
          <w:p w:rsidR="002D6812" w:rsidRPr="002D6812" w:rsidRDefault="002D6812" w:rsidP="002D6812">
            <w:pPr>
              <w:tabs>
                <w:tab w:val="left" w:pos="6521"/>
              </w:tabs>
              <w:autoSpaceDE/>
              <w:autoSpaceDN/>
              <w:spacing w:line="276" w:lineRule="auto"/>
              <w:ind w:left="280"/>
              <w:jc w:val="both"/>
              <w:rPr>
                <w:rFonts w:ascii="Times New Roman" w:eastAsia="Times New Roman" w:hAnsi="Times New Roman" w:cs="Times New Roman"/>
                <w:lang w:val="pt-BR"/>
              </w:rPr>
            </w:pPr>
            <w:r w:rsidRPr="00376E0A">
              <w:rPr>
                <w:rFonts w:ascii="Times New Roman" w:eastAsia="Times New Roman" w:hAnsi="Times New Roman" w:cs="Times New Roman"/>
                <w:color w:val="000000"/>
                <w:sz w:val="24"/>
                <w:szCs w:val="24"/>
                <w:highlight w:val="yellow"/>
                <w:lang w:val="pt-BR"/>
              </w:rPr>
              <w:t>OBSERVAÇÕES: Os móveis de</w:t>
            </w:r>
            <w:r w:rsidR="00376E0A">
              <w:rPr>
                <w:rFonts w:ascii="Times New Roman" w:eastAsia="Times New Roman" w:hAnsi="Times New Roman" w:cs="Times New Roman"/>
                <w:color w:val="000000"/>
                <w:sz w:val="24"/>
                <w:szCs w:val="24"/>
                <w:highlight w:val="yellow"/>
                <w:lang w:val="pt-BR"/>
              </w:rPr>
              <w:t xml:space="preserve">verão ser entregues e montados </w:t>
            </w:r>
            <w:r w:rsidRPr="00376E0A">
              <w:rPr>
                <w:rFonts w:ascii="Times New Roman" w:eastAsia="Times New Roman" w:hAnsi="Times New Roman" w:cs="Times New Roman"/>
                <w:color w:val="000000"/>
                <w:sz w:val="24"/>
                <w:szCs w:val="24"/>
                <w:highlight w:val="yellow"/>
                <w:lang w:val="pt-BR"/>
              </w:rPr>
              <w:t xml:space="preserve">pelo fornecedor, no Ed. Felix </w:t>
            </w:r>
            <w:proofErr w:type="spellStart"/>
            <w:r w:rsidRPr="00376E0A">
              <w:rPr>
                <w:rFonts w:ascii="Times New Roman" w:eastAsia="Times New Roman" w:hAnsi="Times New Roman" w:cs="Times New Roman"/>
                <w:color w:val="000000"/>
                <w:sz w:val="24"/>
                <w:szCs w:val="24"/>
                <w:highlight w:val="yellow"/>
                <w:lang w:val="pt-BR"/>
              </w:rPr>
              <w:t>Bonissoni</w:t>
            </w:r>
            <w:proofErr w:type="spellEnd"/>
            <w:r w:rsidRPr="00376E0A">
              <w:rPr>
                <w:rFonts w:ascii="Times New Roman" w:eastAsia="Times New Roman" w:hAnsi="Times New Roman" w:cs="Times New Roman"/>
                <w:color w:val="000000"/>
                <w:sz w:val="24"/>
                <w:szCs w:val="24"/>
                <w:highlight w:val="yellow"/>
                <w:lang w:val="pt-BR"/>
              </w:rPr>
              <w:t>, a Rua bento Gonçalves nº 220 – centro, Ipumirim</w:t>
            </w:r>
            <w:r w:rsidR="00376E0A" w:rsidRPr="00376E0A">
              <w:rPr>
                <w:rFonts w:ascii="Times New Roman" w:eastAsia="Times New Roman" w:hAnsi="Times New Roman" w:cs="Times New Roman"/>
                <w:color w:val="000000"/>
                <w:sz w:val="24"/>
                <w:szCs w:val="24"/>
                <w:highlight w:val="yellow"/>
                <w:lang w:val="pt-BR"/>
              </w:rPr>
              <w:t xml:space="preserve"> – SC.</w:t>
            </w:r>
          </w:p>
        </w:tc>
      </w:tr>
    </w:tbl>
    <w:p w:rsidR="002D6812" w:rsidRPr="002D6812" w:rsidRDefault="002D6812" w:rsidP="002D6812">
      <w:pPr>
        <w:autoSpaceDE/>
        <w:autoSpaceDN/>
        <w:spacing w:before="41"/>
        <w:ind w:right="228"/>
        <w:jc w:val="both"/>
        <w:rPr>
          <w:rFonts w:ascii="Times New Roman" w:eastAsia="Times New Roman" w:hAnsi="Times New Roman" w:cs="Times New Roman"/>
          <w:color w:val="000000"/>
          <w:sz w:val="24"/>
          <w:szCs w:val="24"/>
          <w:lang w:val="pt-BR" w:eastAsia="pt-BR"/>
        </w:rPr>
      </w:pPr>
    </w:p>
    <w:p w:rsidR="002D6812" w:rsidRPr="002D6812" w:rsidRDefault="002D6812" w:rsidP="002D6812">
      <w:pPr>
        <w:autoSpaceDE/>
        <w:autoSpaceDN/>
        <w:rPr>
          <w:rFonts w:ascii="Times New Roman" w:eastAsia="Times New Roman" w:hAnsi="Times New Roman" w:cs="Times New Roman"/>
          <w:color w:val="000000"/>
          <w:sz w:val="24"/>
          <w:szCs w:val="24"/>
          <w:lang w:val="pt-BR" w:eastAsia="pt-BR"/>
        </w:rPr>
      </w:pPr>
    </w:p>
    <w:p w:rsidR="002D6812" w:rsidRPr="002D6812" w:rsidRDefault="002D6812" w:rsidP="002D6812">
      <w:pPr>
        <w:widowControl/>
        <w:autoSpaceDE/>
        <w:autoSpaceDN/>
        <w:spacing w:after="200" w:line="276" w:lineRule="auto"/>
        <w:rPr>
          <w:rFonts w:ascii="Calibri" w:eastAsia="Times New Roman" w:hAnsi="Calibri" w:cs="Times New Roman"/>
          <w:lang w:val="pt-BR" w:eastAsia="pt-BR"/>
        </w:rPr>
      </w:pPr>
    </w:p>
    <w:p w:rsidR="007E0AF0" w:rsidRDefault="007E0AF0"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2D6812" w:rsidRDefault="002D6812" w:rsidP="007D40C4">
      <w:pPr>
        <w:spacing w:line="276" w:lineRule="auto"/>
        <w:jc w:val="center"/>
        <w:rPr>
          <w:rFonts w:ascii="Verdana" w:hAnsi="Verdana"/>
          <w:b/>
          <w:sz w:val="20"/>
          <w:szCs w:val="20"/>
        </w:rPr>
      </w:pPr>
    </w:p>
    <w:p w:rsidR="00F42380" w:rsidRDefault="00F42380"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2D6812" w:rsidRDefault="002D6812" w:rsidP="00931CDA">
      <w:pPr>
        <w:spacing w:line="276" w:lineRule="auto"/>
        <w:jc w:val="both"/>
        <w:rPr>
          <w:rFonts w:ascii="Verdana" w:hAnsi="Verdana" w:cs="Arial"/>
          <w:b/>
          <w:spacing w:val="2"/>
          <w:sz w:val="20"/>
          <w:szCs w:val="20"/>
        </w:rPr>
      </w:pPr>
    </w:p>
    <w:p w:rsidR="00E3283F" w:rsidRPr="00E3283F" w:rsidRDefault="00E3283F" w:rsidP="00E3283F">
      <w:pPr>
        <w:spacing w:line="276" w:lineRule="auto"/>
        <w:jc w:val="center"/>
        <w:rPr>
          <w:rFonts w:ascii="Verdana" w:hAnsi="Verdana"/>
          <w:b/>
          <w:sz w:val="20"/>
          <w:szCs w:val="20"/>
        </w:rPr>
      </w:pPr>
      <w:r w:rsidRPr="00E3283F">
        <w:rPr>
          <w:rFonts w:ascii="Verdana" w:hAnsi="Verdana"/>
          <w:b/>
          <w:sz w:val="20"/>
          <w:szCs w:val="20"/>
        </w:rPr>
        <w:lastRenderedPageBreak/>
        <w:t>DISPENSA ELETRÔNICA 19/2024</w:t>
      </w:r>
    </w:p>
    <w:p w:rsidR="00530D27" w:rsidRDefault="00E3283F" w:rsidP="00E3283F">
      <w:pPr>
        <w:spacing w:line="276" w:lineRule="auto"/>
        <w:jc w:val="center"/>
        <w:rPr>
          <w:rFonts w:ascii="Verdana" w:hAnsi="Verdana"/>
          <w:b/>
          <w:sz w:val="20"/>
          <w:szCs w:val="20"/>
        </w:rPr>
      </w:pPr>
      <w:r w:rsidRPr="00E3283F">
        <w:rPr>
          <w:rFonts w:ascii="Verdana" w:hAnsi="Verdana"/>
          <w:b/>
          <w:sz w:val="20"/>
          <w:szCs w:val="20"/>
        </w:rPr>
        <w:t>PROCESSO DE LICITAÇÃO 172/2024</w:t>
      </w:r>
    </w:p>
    <w:p w:rsidR="00E3283F" w:rsidRDefault="00E3283F" w:rsidP="00E3283F">
      <w:pPr>
        <w:spacing w:line="276" w:lineRule="auto"/>
        <w:jc w:val="center"/>
        <w:rPr>
          <w:rFonts w:ascii="Verdana" w:hAnsi="Verdana"/>
          <w:b/>
          <w:sz w:val="20"/>
          <w:szCs w:val="20"/>
        </w:rPr>
      </w:pPr>
    </w:p>
    <w:p w:rsidR="00530D27" w:rsidRDefault="00530D27" w:rsidP="00530D27">
      <w:pPr>
        <w:spacing w:line="276" w:lineRule="auto"/>
        <w:jc w:val="center"/>
        <w:rPr>
          <w:rFonts w:ascii="Verdana" w:hAnsi="Verdana"/>
          <w:b/>
          <w:sz w:val="20"/>
          <w:szCs w:val="20"/>
        </w:rPr>
      </w:pPr>
      <w:r>
        <w:rPr>
          <w:rFonts w:ascii="Verdana" w:hAnsi="Verdana"/>
          <w:b/>
          <w:sz w:val="20"/>
          <w:szCs w:val="20"/>
        </w:rPr>
        <w:t>ANEXO II</w:t>
      </w:r>
    </w:p>
    <w:p w:rsidR="00530D27" w:rsidRPr="00530D27" w:rsidRDefault="00530D27" w:rsidP="00530D27">
      <w:pPr>
        <w:keepNext/>
        <w:keepLines/>
        <w:widowControl/>
        <w:autoSpaceDE/>
        <w:autoSpaceDN/>
        <w:spacing w:before="200" w:after="200" w:line="276" w:lineRule="auto"/>
        <w:ind w:left="1238" w:right="1247"/>
        <w:jc w:val="center"/>
        <w:outlineLvl w:val="1"/>
        <w:rPr>
          <w:rFonts w:ascii="Arial" w:eastAsia="Times New Roman" w:hAnsi="Arial" w:cs="Arial"/>
          <w:b/>
          <w:bCs/>
          <w:color w:val="4F81BD"/>
          <w:lang w:val="pt-BR" w:eastAsia="pt-BR"/>
        </w:rPr>
      </w:pPr>
      <w:r w:rsidRPr="00530D27">
        <w:rPr>
          <w:rFonts w:ascii="Arial" w:eastAsia="Times New Roman" w:hAnsi="Arial" w:cs="Arial"/>
          <w:b/>
          <w:bCs/>
          <w:color w:val="000000"/>
          <w:lang w:val="pt-BR" w:eastAsia="pt-BR"/>
        </w:rPr>
        <w:t>ESTUDO TÉCNICO PRELIMINAR</w:t>
      </w:r>
    </w:p>
    <w:p w:rsidR="00530D27" w:rsidRPr="00530D27" w:rsidRDefault="00530D27" w:rsidP="00530D27">
      <w:pPr>
        <w:pBdr>
          <w:top w:val="nil"/>
          <w:left w:val="nil"/>
          <w:bottom w:val="nil"/>
          <w:right w:val="nil"/>
          <w:between w:val="nil"/>
        </w:pBdr>
        <w:autoSpaceDE/>
        <w:autoSpaceDN/>
        <w:ind w:left="112"/>
        <w:jc w:val="both"/>
        <w:rPr>
          <w:rFonts w:ascii="Arial" w:eastAsia="Times New Roman" w:hAnsi="Arial" w:cs="Arial"/>
          <w:b/>
          <w:color w:val="000000"/>
          <w:lang w:val="pt-BR" w:eastAsia="pt-BR"/>
        </w:rPr>
      </w:pPr>
    </w:p>
    <w:p w:rsidR="00530D27" w:rsidRPr="00530D27" w:rsidRDefault="006E5810" w:rsidP="00530D27">
      <w:pPr>
        <w:autoSpaceDE/>
        <w:autoSpaceDN/>
        <w:spacing w:before="202"/>
        <w:jc w:val="both"/>
        <w:rPr>
          <w:rFonts w:ascii="Arial" w:eastAsia="Times New Roman" w:hAnsi="Arial" w:cs="Arial"/>
          <w:b/>
          <w:lang w:val="pt-BR" w:eastAsia="pt-BR"/>
        </w:rPr>
      </w:pPr>
      <w:r>
        <w:rPr>
          <w:rFonts w:ascii="Arial" w:eastAsia="Times New Roman" w:hAnsi="Arial" w:cs="Arial"/>
          <w:b/>
          <w:color w:val="000000"/>
          <w:lang w:val="pt-BR" w:eastAsia="pt-BR"/>
        </w:rPr>
        <w:t xml:space="preserve">1. </w:t>
      </w:r>
      <w:r w:rsidR="00530D27" w:rsidRPr="00530D27">
        <w:rPr>
          <w:rFonts w:ascii="Arial" w:eastAsia="Times New Roman" w:hAnsi="Arial" w:cs="Arial"/>
          <w:b/>
          <w:color w:val="000000"/>
          <w:lang w:val="pt-BR" w:eastAsia="pt-BR"/>
        </w:rPr>
        <w:t>INTRODUÇÃO</w:t>
      </w: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color w:val="000000"/>
          <w:lang w:val="pt-BR" w:eastAsia="pt-BR"/>
        </w:rPr>
        <w:t xml:space="preserve">             O presente documento caracteriza a primeira etapa da fase de planejamento e apresenta os devidos estudos para a contratação de solução que atenderá à necessidade abaixo especificada.</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color w:val="000000"/>
          <w:lang w:val="pt-BR" w:eastAsia="pt-BR"/>
        </w:rPr>
        <w:t xml:space="preserve">              O objetivo principal é estudar detalhadamente a necessidade e identificar no mercado a melhor solução para supri-la, em observância às normas vigentes e aos princípios que regem a Administração Pública.</w:t>
      </w:r>
    </w:p>
    <w:p w:rsidR="006E5810" w:rsidRPr="006E5810" w:rsidRDefault="00530D27" w:rsidP="00530D27">
      <w:pPr>
        <w:autoSpaceDE/>
        <w:autoSpaceDN/>
        <w:spacing w:before="220" w:after="220"/>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I - Da descrição da necessidade da contratação, considerado o problema a ser resolvido sob a perspectiva do interesse público.</w:t>
      </w:r>
    </w:p>
    <w:p w:rsidR="006E5810" w:rsidRPr="00530D27" w:rsidRDefault="006E5810" w:rsidP="00530D27">
      <w:pPr>
        <w:autoSpaceDE/>
        <w:autoSpaceDN/>
        <w:spacing w:before="220" w:after="220"/>
        <w:jc w:val="both"/>
        <w:rPr>
          <w:rFonts w:ascii="Arial" w:eastAsia="Times New Roman" w:hAnsi="Arial" w:cs="Arial"/>
          <w:color w:val="000000"/>
          <w:lang w:val="pt-BR" w:eastAsia="pt-BR"/>
        </w:rPr>
      </w:pPr>
    </w:p>
    <w:p w:rsidR="00530D27" w:rsidRPr="00530D27" w:rsidRDefault="00530D27" w:rsidP="00530D27">
      <w:pPr>
        <w:autoSpaceDE/>
        <w:autoSpaceDN/>
        <w:spacing w:before="220" w:after="220"/>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2. NORMAS APLICÁVEIS:</w:t>
      </w: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Lei Federal nº. 14.133, de 1º de abril de 2021 (Nova Lei de Licitações e Contratos Administrativos);</w:t>
      </w:r>
    </w:p>
    <w:p w:rsidR="00530D27" w:rsidRPr="00530D27" w:rsidRDefault="00530D27" w:rsidP="00530D27">
      <w:pPr>
        <w:autoSpaceDE/>
        <w:autoSpaceDN/>
        <w:ind w:left="567"/>
        <w:jc w:val="both"/>
        <w:rPr>
          <w:rFonts w:ascii="Arial" w:eastAsia="Times New Roman" w:hAnsi="Arial" w:cs="Arial"/>
          <w:lang w:val="pt-BR" w:eastAsia="pt-BR"/>
        </w:rPr>
      </w:pPr>
      <w:r w:rsidRPr="00530D27">
        <w:rPr>
          <w:rFonts w:ascii="Arial" w:eastAsia="Times New Roman" w:hAnsi="Arial" w:cs="Arial"/>
          <w:i/>
          <w:lang w:val="pt-BR" w:eastAsia="pt-BR"/>
        </w:rPr>
        <w:t>Art. 18 - § 2º O estudo técnico preliminar deverá conter ao menos os elementos previstos nos incisos I, IV, VI, VIII e XIII do § 1º deste artigo e, quando não contemplar os demais elementos previstos no referido parágrafo, apresentar as devidas justificativas.</w:t>
      </w: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Decreto nº 7.090, de 22 de fevereiro de 2023.</w:t>
      </w:r>
    </w:p>
    <w:p w:rsidR="00530D27" w:rsidRPr="00530D27" w:rsidRDefault="00530D27" w:rsidP="00530D27">
      <w:pPr>
        <w:autoSpaceDE/>
        <w:autoSpaceDN/>
        <w:ind w:left="709"/>
        <w:jc w:val="both"/>
        <w:rPr>
          <w:rFonts w:ascii="Arial" w:eastAsia="Times New Roman" w:hAnsi="Arial" w:cs="Arial"/>
          <w:i/>
          <w:lang w:val="pt-BR" w:eastAsia="pt-BR"/>
        </w:rPr>
      </w:pPr>
      <w:r w:rsidRPr="00530D27">
        <w:rPr>
          <w:rFonts w:ascii="Arial" w:eastAsia="Times New Roman" w:hAnsi="Arial" w:cs="Arial"/>
          <w:i/>
          <w:lang w:val="pt-BR" w:eastAsia="pt-BR"/>
        </w:rPr>
        <w:t xml:space="preserve">Art. 31 - § 4º Quando </w:t>
      </w:r>
      <w:proofErr w:type="gramStart"/>
      <w:r w:rsidRPr="00530D27">
        <w:rPr>
          <w:rFonts w:ascii="Arial" w:eastAsia="Times New Roman" w:hAnsi="Arial" w:cs="Arial"/>
          <w:i/>
          <w:lang w:val="pt-BR" w:eastAsia="pt-BR"/>
        </w:rPr>
        <w:t>a contratação de obras, serviços, compras e locações tiver</w:t>
      </w:r>
      <w:proofErr w:type="gramEnd"/>
      <w:r w:rsidRPr="00530D27">
        <w:rPr>
          <w:rFonts w:ascii="Arial" w:eastAsia="Times New Roman" w:hAnsi="Arial" w:cs="Arial"/>
          <w:i/>
          <w:lang w:val="pt-BR" w:eastAsia="pt-BR"/>
        </w:rPr>
        <w:t xml:space="preserve"> impacto reduzido para Administração, será permitida a adoção do ETP Simplificado, sendo facultativos os elementos indicados no art. 18, § 1º, incisos III, V, IX, X, XI e XII, da Lei Federal nº 14.133, de 2021.</w:t>
      </w:r>
    </w:p>
    <w:p w:rsidR="00530D27" w:rsidRPr="00530D27" w:rsidRDefault="00530D27" w:rsidP="00530D27">
      <w:pPr>
        <w:autoSpaceDE/>
        <w:autoSpaceDN/>
        <w:jc w:val="both"/>
        <w:rPr>
          <w:rFonts w:ascii="Arial" w:eastAsia="Times New Roman" w:hAnsi="Arial" w:cs="Arial"/>
          <w:i/>
          <w:lang w:val="pt-BR" w:eastAsia="pt-BR"/>
        </w:rPr>
      </w:pPr>
    </w:p>
    <w:p w:rsidR="00530D27" w:rsidRPr="00530D27" w:rsidRDefault="00530D27" w:rsidP="00530D27">
      <w:pPr>
        <w:autoSpaceDE/>
        <w:autoSpaceDN/>
        <w:rPr>
          <w:rFonts w:ascii="Arial" w:eastAsia="Times New Roman" w:hAnsi="Arial" w:cs="Arial"/>
          <w:lang w:val="pt-BR" w:eastAsia="pt-BR"/>
        </w:rPr>
      </w:pPr>
      <w:r w:rsidRPr="00530D27">
        <w:rPr>
          <w:rFonts w:ascii="Arial" w:eastAsia="Times New Roman" w:hAnsi="Arial" w:cs="Arial"/>
          <w:i/>
          <w:lang w:val="pt-BR" w:eastAsia="pt-BR"/>
        </w:rPr>
        <w:t xml:space="preserve">Lei nº 14.399, de </w:t>
      </w:r>
      <w:proofErr w:type="gramStart"/>
      <w:r w:rsidRPr="00530D27">
        <w:rPr>
          <w:rFonts w:ascii="Arial" w:eastAsia="Times New Roman" w:hAnsi="Arial" w:cs="Arial"/>
          <w:i/>
          <w:lang w:val="pt-BR" w:eastAsia="pt-BR"/>
        </w:rPr>
        <w:t>8</w:t>
      </w:r>
      <w:proofErr w:type="gramEnd"/>
      <w:r w:rsidRPr="00530D27">
        <w:rPr>
          <w:rFonts w:ascii="Arial" w:eastAsia="Times New Roman" w:hAnsi="Arial" w:cs="Arial"/>
          <w:i/>
          <w:lang w:val="pt-BR" w:eastAsia="pt-BR"/>
        </w:rPr>
        <w:t xml:space="preserve"> de julho de 2022 -  Institui a Política Nacional de Fomento a Cultura</w:t>
      </w:r>
      <w:r w:rsidRPr="00530D27">
        <w:rPr>
          <w:rFonts w:ascii="Arial" w:eastAsia="Times New Roman" w:hAnsi="Arial" w:cs="Arial"/>
          <w:color w:val="800000"/>
          <w:lang w:val="pt-BR" w:eastAsia="pt-BR"/>
        </w:rPr>
        <w:br/>
      </w: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lang w:val="pt-BR" w:eastAsia="pt-BR"/>
        </w:rPr>
        <w:t xml:space="preserve">Unidade administrativa demandante: </w:t>
      </w:r>
      <w:r w:rsidRPr="00530D27">
        <w:rPr>
          <w:rFonts w:ascii="Arial" w:eastAsia="Times New Roman" w:hAnsi="Arial" w:cs="Arial"/>
          <w:color w:val="000000"/>
          <w:lang w:val="pt-BR" w:eastAsia="pt-BR"/>
        </w:rPr>
        <w:t>Secretaria Municipal de Educação, Cultura e Esportes.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6E5810" w:rsidP="00530D27">
      <w:pPr>
        <w:autoSpaceDE/>
        <w:autoSpaceDN/>
        <w:jc w:val="both"/>
        <w:rPr>
          <w:rFonts w:ascii="Arial" w:eastAsia="Times New Roman" w:hAnsi="Arial" w:cs="Arial"/>
          <w:b/>
          <w:color w:val="000000"/>
          <w:lang w:val="pt-BR" w:eastAsia="pt-BR"/>
        </w:rPr>
      </w:pPr>
      <w:r>
        <w:rPr>
          <w:rFonts w:ascii="Arial" w:eastAsia="Times New Roman" w:hAnsi="Arial" w:cs="Arial"/>
          <w:b/>
          <w:color w:val="000000"/>
          <w:lang w:val="pt-BR" w:eastAsia="pt-BR"/>
        </w:rPr>
        <w:t xml:space="preserve">3. </w:t>
      </w:r>
      <w:r w:rsidR="00530D27" w:rsidRPr="00530D27">
        <w:rPr>
          <w:rFonts w:ascii="Arial" w:eastAsia="Times New Roman" w:hAnsi="Arial" w:cs="Arial"/>
          <w:b/>
          <w:color w:val="000000"/>
          <w:lang w:val="pt-BR" w:eastAsia="pt-BR"/>
        </w:rPr>
        <w:t>DIAGNÓSTICO DA SITUAÇÃO ATUAL.</w:t>
      </w: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O Município </w:t>
      </w:r>
      <w:proofErr w:type="gramStart"/>
      <w:r w:rsidRPr="00530D27">
        <w:rPr>
          <w:rFonts w:ascii="Arial" w:eastAsia="Times New Roman" w:hAnsi="Arial" w:cs="Arial"/>
          <w:color w:val="000000"/>
          <w:lang w:val="pt-BR" w:eastAsia="pt-BR"/>
        </w:rPr>
        <w:t>mantém,</w:t>
      </w:r>
      <w:proofErr w:type="gramEnd"/>
      <w:r w:rsidRPr="00530D27">
        <w:rPr>
          <w:rFonts w:ascii="Arial" w:eastAsia="Times New Roman" w:hAnsi="Arial" w:cs="Arial"/>
          <w:color w:val="000000"/>
          <w:lang w:val="pt-BR" w:eastAsia="pt-BR"/>
        </w:rPr>
        <w:t xml:space="preserve"> através a Secretaria Municipal de Educação, Cultura e Esportes o Museu Comunitário, integrando a estrutura do Departamento Municipal de Cultura. Atualmente o Museu funciona em espaço junto ao Ed. Felix </w:t>
      </w:r>
      <w:proofErr w:type="spellStart"/>
      <w:r w:rsidRPr="00530D27">
        <w:rPr>
          <w:rFonts w:ascii="Arial" w:eastAsia="Times New Roman" w:hAnsi="Arial" w:cs="Arial"/>
          <w:color w:val="000000"/>
          <w:lang w:val="pt-BR" w:eastAsia="pt-BR"/>
        </w:rPr>
        <w:t>Bonissoni</w:t>
      </w:r>
      <w:proofErr w:type="spellEnd"/>
      <w:r w:rsidRPr="00530D27">
        <w:rPr>
          <w:rFonts w:ascii="Arial" w:eastAsia="Times New Roman" w:hAnsi="Arial" w:cs="Arial"/>
          <w:color w:val="000000"/>
          <w:lang w:val="pt-BR" w:eastAsia="pt-BR"/>
        </w:rPr>
        <w:t>, no andar térreo onde se encontra a Secretaria Municipal de Educação, Cultura e Esportes.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Seu acervo é composto de peças, </w:t>
      </w:r>
      <w:proofErr w:type="gramStart"/>
      <w:r w:rsidRPr="00530D27">
        <w:rPr>
          <w:rFonts w:ascii="Arial" w:eastAsia="Times New Roman" w:hAnsi="Arial" w:cs="Arial"/>
          <w:color w:val="000000"/>
          <w:lang w:val="pt-BR" w:eastAsia="pt-BR"/>
        </w:rPr>
        <w:t>objetos, acerco</w:t>
      </w:r>
      <w:proofErr w:type="gramEnd"/>
      <w:r w:rsidRPr="00530D27">
        <w:rPr>
          <w:rFonts w:ascii="Arial" w:eastAsia="Times New Roman" w:hAnsi="Arial" w:cs="Arial"/>
          <w:color w:val="000000"/>
          <w:lang w:val="pt-BR" w:eastAsia="pt-BR"/>
        </w:rPr>
        <w:t xml:space="preserve"> fotográfico. Possui objetos da época da Pré-história, até os primeiros anos da emancipação do município. Resgata ferramentas antigas e utilizadas na época da colonização, banca carpinteiro,</w:t>
      </w:r>
      <w:proofErr w:type="gramStart"/>
      <w:r w:rsidRPr="00530D27">
        <w:rPr>
          <w:rFonts w:ascii="Arial" w:eastAsia="Times New Roman" w:hAnsi="Arial" w:cs="Arial"/>
          <w:color w:val="000000"/>
          <w:lang w:val="pt-BR" w:eastAsia="pt-BR"/>
        </w:rPr>
        <w:t xml:space="preserve">  </w:t>
      </w:r>
      <w:proofErr w:type="gramEnd"/>
      <w:r w:rsidRPr="00530D27">
        <w:rPr>
          <w:rFonts w:ascii="Arial" w:eastAsia="Times New Roman" w:hAnsi="Arial" w:cs="Arial"/>
          <w:color w:val="000000"/>
          <w:lang w:val="pt-BR" w:eastAsia="pt-BR"/>
        </w:rPr>
        <w:t>objetos relacionados a comunicação, objetos de cunho religioso, educacional, objetos que retratam os primeiros anos do inicio da emancipação, como objetos relacionados ao desenvolvimento do comércio, inicialmente na vila e depois da emancipação, entre outros, contando também com rico acervo fotográficos que resgatam as mais diversos registros das comunidades e da população em geral.</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Em face da quantidade de peças e o diminuto espaço do museu, muitas peças estão expostas no hall de entrada do prédio.</w:t>
      </w:r>
    </w:p>
    <w:p w:rsidR="00530D27" w:rsidRPr="00530D27" w:rsidRDefault="00530D27" w:rsidP="00530D27">
      <w:pPr>
        <w:tabs>
          <w:tab w:val="left" w:pos="536"/>
          <w:tab w:val="left" w:pos="2270"/>
          <w:tab w:val="left" w:pos="4294"/>
        </w:tabs>
        <w:suppressAutoHyphens/>
        <w:autoSpaceDE/>
        <w:autoSpaceDN/>
        <w:jc w:val="both"/>
        <w:rPr>
          <w:rFonts w:ascii="Arial" w:eastAsia="Times New Roman" w:hAnsi="Arial" w:cs="Arial"/>
          <w:color w:val="000000"/>
          <w:lang w:val="pt-BR"/>
        </w:rPr>
      </w:pPr>
      <w:r w:rsidRPr="00530D27">
        <w:rPr>
          <w:rFonts w:ascii="Arial" w:eastAsia="Times New Roman" w:hAnsi="Arial" w:cs="Arial"/>
          <w:color w:val="000000"/>
          <w:lang w:val="pt-BR"/>
        </w:rPr>
        <w:t>Considerando que o espaço destinado ao museu não é amplo, o que faz com que haja necessidade de utilizar da melhor forma o espaço disponível, criando as melhores condições para</w:t>
      </w:r>
      <w:proofErr w:type="gramStart"/>
      <w:r w:rsidRPr="00530D27">
        <w:rPr>
          <w:rFonts w:ascii="Arial" w:eastAsia="Times New Roman" w:hAnsi="Arial" w:cs="Arial"/>
          <w:color w:val="000000"/>
          <w:lang w:val="pt-BR"/>
        </w:rPr>
        <w:t xml:space="preserve">  </w:t>
      </w:r>
      <w:proofErr w:type="gramEnd"/>
      <w:r w:rsidRPr="00530D27">
        <w:rPr>
          <w:rFonts w:ascii="Arial" w:eastAsia="Times New Roman" w:hAnsi="Arial" w:cs="Arial"/>
          <w:color w:val="000000"/>
          <w:lang w:val="pt-BR"/>
        </w:rPr>
        <w:t>manter  as peças de seu acervo em exposição,  otimizar todo os espaço aonde ficam expostas os(as) objetos/peças, muitos delas expostas sobre balcões, mesas, estantes e outros móveis.</w:t>
      </w:r>
    </w:p>
    <w:p w:rsidR="00530D27" w:rsidRPr="00530D27" w:rsidRDefault="00530D27" w:rsidP="00530D27">
      <w:pPr>
        <w:tabs>
          <w:tab w:val="left" w:pos="536"/>
          <w:tab w:val="left" w:pos="2270"/>
          <w:tab w:val="left" w:pos="4294"/>
        </w:tabs>
        <w:suppressAutoHyphens/>
        <w:autoSpaceDE/>
        <w:autoSpaceDN/>
        <w:jc w:val="both"/>
        <w:rPr>
          <w:rFonts w:ascii="Arial" w:eastAsia="Times New Roman" w:hAnsi="Arial" w:cs="Arial"/>
          <w:color w:val="000000"/>
          <w:lang w:val="pt-BR"/>
        </w:rPr>
      </w:pPr>
    </w:p>
    <w:p w:rsidR="00530D27" w:rsidRPr="00530D27" w:rsidRDefault="00530D27" w:rsidP="00530D27">
      <w:pPr>
        <w:tabs>
          <w:tab w:val="left" w:pos="536"/>
          <w:tab w:val="left" w:pos="2270"/>
          <w:tab w:val="left" w:pos="4294"/>
        </w:tabs>
        <w:suppressAutoHyphens/>
        <w:autoSpaceDE/>
        <w:autoSpaceDN/>
        <w:jc w:val="both"/>
        <w:rPr>
          <w:rFonts w:ascii="Arial" w:eastAsia="Times New Roman" w:hAnsi="Arial" w:cs="Arial"/>
          <w:color w:val="000000"/>
          <w:lang w:val="pt-BR"/>
        </w:rPr>
      </w:pPr>
      <w:r w:rsidRPr="00530D27">
        <w:rPr>
          <w:rFonts w:ascii="Arial" w:eastAsia="Times New Roman" w:hAnsi="Arial" w:cs="Arial"/>
          <w:color w:val="000000"/>
          <w:lang w:val="pt-BR"/>
        </w:rPr>
        <w:t xml:space="preserve">A falta de uma espaço mais amplo cria um problema </w:t>
      </w:r>
      <w:proofErr w:type="gramStart"/>
      <w:r w:rsidRPr="00530D27">
        <w:rPr>
          <w:rFonts w:ascii="Arial" w:eastAsia="Times New Roman" w:hAnsi="Arial" w:cs="Arial"/>
          <w:color w:val="000000"/>
          <w:lang w:val="pt-BR"/>
        </w:rPr>
        <w:t>na medida que</w:t>
      </w:r>
      <w:proofErr w:type="gramEnd"/>
      <w:r w:rsidRPr="00530D27">
        <w:rPr>
          <w:rFonts w:ascii="Arial" w:eastAsia="Times New Roman" w:hAnsi="Arial" w:cs="Arial"/>
          <w:color w:val="000000"/>
          <w:lang w:val="pt-BR"/>
        </w:rPr>
        <w:t xml:space="preserve"> mais e mais peças vão sendo incorporadas ao acervo, percebe-se a necessidade de ampliar o espaço de exposição, bem como de disponibilizar móveis para deixar as peças/objetos expostas(os).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O museu, por ser um espaço cultural de resgate e preservação da história e a memória do município, cujo público alvo, além </w:t>
      </w:r>
      <w:proofErr w:type="gramStart"/>
      <w:r w:rsidRPr="00530D27">
        <w:rPr>
          <w:rFonts w:ascii="Arial" w:eastAsia="Times New Roman" w:hAnsi="Arial" w:cs="Arial"/>
          <w:color w:val="000000"/>
          <w:lang w:val="pt-BR" w:eastAsia="pt-BR"/>
        </w:rPr>
        <w:t>das população</w:t>
      </w:r>
      <w:proofErr w:type="gramEnd"/>
      <w:r w:rsidRPr="00530D27">
        <w:rPr>
          <w:rFonts w:ascii="Arial" w:eastAsia="Times New Roman" w:hAnsi="Arial" w:cs="Arial"/>
          <w:color w:val="000000"/>
          <w:lang w:val="pt-BR" w:eastAsia="pt-BR"/>
        </w:rPr>
        <w:t xml:space="preserve"> do município, esta aberto a população regional. </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Recebe constantemente alunos dos estabelecimentos de ensino da rede municipal e estadual, para visitas guiadas, além de visitantes da própria comunidade e de pessoas oriunda de fora do município.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Nos ano de 2023 e até o mês de setembro de 2024, o museu recebeu um numero superior a 1000 estudantes, podendo até o final de 2024, esse numero pode chegar a 1.500 visitantes, somente estudantes.</w:t>
      </w:r>
    </w:p>
    <w:p w:rsidR="00530D27" w:rsidRPr="00530D27" w:rsidRDefault="00530D27" w:rsidP="00530D27">
      <w:pPr>
        <w:autoSpaceDE/>
        <w:autoSpaceDN/>
        <w:jc w:val="both"/>
        <w:rPr>
          <w:rFonts w:ascii="Arial" w:eastAsia="Times New Roman" w:hAnsi="Arial" w:cs="Arial"/>
          <w:lang w:val="pt-BR" w:eastAsia="pt-BR"/>
        </w:rPr>
      </w:pP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 xml:space="preserve">Com o interesse percebido desde a sua reabertura, no ano de 2023, o museu recebeu uma quantidade considerável de novas peças, doadas pelos moradores, </w:t>
      </w:r>
      <w:proofErr w:type="gramStart"/>
      <w:r w:rsidRPr="00530D27">
        <w:rPr>
          <w:rFonts w:ascii="Arial" w:eastAsia="Times New Roman" w:hAnsi="Arial" w:cs="Arial"/>
          <w:lang w:val="pt-BR" w:eastAsia="pt-BR"/>
        </w:rPr>
        <w:t>comerciantes de nosso município e esse interesse é</w:t>
      </w:r>
      <w:proofErr w:type="gramEnd"/>
      <w:r w:rsidRPr="00530D27">
        <w:rPr>
          <w:rFonts w:ascii="Arial" w:eastAsia="Times New Roman" w:hAnsi="Arial" w:cs="Arial"/>
          <w:lang w:val="pt-BR" w:eastAsia="pt-BR"/>
        </w:rPr>
        <w:t xml:space="preserve"> crescente, e para evitar descartar os objetos tem procurado o museu para fazer a doação.</w:t>
      </w:r>
    </w:p>
    <w:p w:rsidR="00530D27" w:rsidRPr="00530D27" w:rsidRDefault="00530D27" w:rsidP="00530D27">
      <w:pPr>
        <w:autoSpaceDE/>
        <w:autoSpaceDN/>
        <w:jc w:val="both"/>
        <w:rPr>
          <w:rFonts w:ascii="Arial" w:eastAsia="Times New Roman" w:hAnsi="Arial" w:cs="Arial"/>
          <w:lang w:val="pt-BR" w:eastAsia="pt-BR"/>
        </w:rPr>
      </w:pP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 xml:space="preserve">Contudo, pela falta de espaço mais amplo e de bens móveis para deixar expostas as peças, novas doações poderão ser recusadas, o que em nossa entender será prejudicial </w:t>
      </w:r>
      <w:proofErr w:type="gramStart"/>
      <w:r w:rsidRPr="00530D27">
        <w:rPr>
          <w:rFonts w:ascii="Arial" w:eastAsia="Times New Roman" w:hAnsi="Arial" w:cs="Arial"/>
          <w:lang w:val="pt-BR" w:eastAsia="pt-BR"/>
        </w:rPr>
        <w:t>a</w:t>
      </w:r>
      <w:proofErr w:type="gramEnd"/>
      <w:r w:rsidRPr="00530D27">
        <w:rPr>
          <w:rFonts w:ascii="Arial" w:eastAsia="Times New Roman" w:hAnsi="Arial" w:cs="Arial"/>
          <w:lang w:val="pt-BR" w:eastAsia="pt-BR"/>
        </w:rPr>
        <w:t xml:space="preserve"> finalidade do museu, pois as peças que eventualmente poderiam ser doadas e estarem expostas no museu, poderão ser descartadas pelas pessoas que as detém.</w:t>
      </w:r>
    </w:p>
    <w:p w:rsidR="00530D27" w:rsidRPr="00530D27" w:rsidRDefault="00530D27" w:rsidP="00530D27">
      <w:pPr>
        <w:autoSpaceDE/>
        <w:autoSpaceDN/>
        <w:jc w:val="both"/>
        <w:rPr>
          <w:rFonts w:ascii="Arial" w:eastAsia="Times New Roman" w:hAnsi="Arial" w:cs="Arial"/>
          <w:lang w:val="pt-BR" w:eastAsia="pt-BR"/>
        </w:rPr>
      </w:pP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Com a aquisição dos bens pretendidos abre-se a possibilidade de uma melhor distribuição das peças, otimizando o espaço, oferecendo melhores condições de exposição e melhorando o aspecto físico e as condições de receber os visitantes, permitindo as peças ficam expostas com uma melhor visibilidade e aspecto</w:t>
      </w:r>
      <w:proofErr w:type="gramStart"/>
      <w:r w:rsidRPr="00530D27">
        <w:rPr>
          <w:rFonts w:ascii="Arial" w:eastAsia="Times New Roman" w:hAnsi="Arial" w:cs="Arial"/>
          <w:lang w:val="pt-BR" w:eastAsia="pt-BR"/>
        </w:rPr>
        <w:t xml:space="preserve">  </w:t>
      </w:r>
      <w:proofErr w:type="gramEnd"/>
      <w:r w:rsidRPr="00530D27">
        <w:rPr>
          <w:rFonts w:ascii="Arial" w:eastAsia="Times New Roman" w:hAnsi="Arial" w:cs="Arial"/>
          <w:lang w:val="pt-BR" w:eastAsia="pt-BR"/>
        </w:rPr>
        <w:t>de organização.</w:t>
      </w:r>
    </w:p>
    <w:p w:rsidR="00530D27" w:rsidRPr="00530D27" w:rsidRDefault="00530D27" w:rsidP="00530D27">
      <w:pPr>
        <w:autoSpaceDE/>
        <w:autoSpaceDN/>
        <w:jc w:val="both"/>
        <w:rPr>
          <w:rFonts w:ascii="Arial" w:eastAsia="Times New Roman" w:hAnsi="Arial" w:cs="Arial"/>
          <w:lang w:val="pt-BR" w:eastAsia="pt-BR"/>
        </w:rPr>
      </w:pP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 xml:space="preserve">Para solucionar a falta desses bens moveis hoje a Secretaria busca junto </w:t>
      </w:r>
      <w:proofErr w:type="gramStart"/>
      <w:r w:rsidRPr="00530D27">
        <w:rPr>
          <w:rFonts w:ascii="Arial" w:eastAsia="Times New Roman" w:hAnsi="Arial" w:cs="Arial"/>
          <w:lang w:val="pt-BR" w:eastAsia="pt-BR"/>
        </w:rPr>
        <w:t>as</w:t>
      </w:r>
      <w:proofErr w:type="gramEnd"/>
      <w:r w:rsidRPr="00530D27">
        <w:rPr>
          <w:rFonts w:ascii="Arial" w:eastAsia="Times New Roman" w:hAnsi="Arial" w:cs="Arial"/>
          <w:lang w:val="pt-BR" w:eastAsia="pt-BR"/>
        </w:rPr>
        <w:t xml:space="preserve"> escolas e outros órgãos e secretarias a eventualidade de disponibilizar, espacialmente mesas, balcões, estandes, o que nem sempre é possível, pois na maioria das vezes esses não possuem para disponibilizar, mesmo que momentaneamente.</w:t>
      </w:r>
    </w:p>
    <w:p w:rsidR="00530D27" w:rsidRPr="00530D27" w:rsidRDefault="00530D27" w:rsidP="00530D27">
      <w:pPr>
        <w:autoSpaceDE/>
        <w:autoSpaceDN/>
        <w:jc w:val="both"/>
        <w:rPr>
          <w:rFonts w:ascii="Arial" w:eastAsia="Times New Roman" w:hAnsi="Arial" w:cs="Arial"/>
          <w:lang w:val="pt-BR" w:eastAsia="pt-BR"/>
        </w:rPr>
      </w:pPr>
    </w:p>
    <w:p w:rsidR="00530D27" w:rsidRPr="00530D27" w:rsidRDefault="00530D27" w:rsidP="00530D27">
      <w:pPr>
        <w:autoSpaceDE/>
        <w:autoSpaceDN/>
        <w:jc w:val="both"/>
        <w:rPr>
          <w:rFonts w:ascii="Arial" w:eastAsia="Times New Roman" w:hAnsi="Arial" w:cs="Arial"/>
          <w:lang w:val="pt-BR" w:eastAsia="pt-BR"/>
        </w:rPr>
      </w:pPr>
      <w:r w:rsidRPr="00530D27">
        <w:rPr>
          <w:rFonts w:ascii="Arial" w:eastAsia="Times New Roman" w:hAnsi="Arial" w:cs="Arial"/>
          <w:lang w:val="pt-BR" w:eastAsia="pt-BR"/>
        </w:rPr>
        <w:t>Além da busca junto a escolas e outros órgãos da administração municipal,</w:t>
      </w:r>
      <w:proofErr w:type="gramStart"/>
      <w:r w:rsidRPr="00530D27">
        <w:rPr>
          <w:rFonts w:ascii="Arial" w:eastAsia="Times New Roman" w:hAnsi="Arial" w:cs="Arial"/>
          <w:lang w:val="pt-BR" w:eastAsia="pt-BR"/>
        </w:rPr>
        <w:t xml:space="preserve">  </w:t>
      </w:r>
      <w:proofErr w:type="gramEnd"/>
      <w:r w:rsidRPr="00530D27">
        <w:rPr>
          <w:rFonts w:ascii="Arial" w:eastAsia="Times New Roman" w:hAnsi="Arial" w:cs="Arial"/>
          <w:lang w:val="pt-BR" w:eastAsia="pt-BR"/>
        </w:rPr>
        <w:t>secretaria, para resolver o problema, tem aglomerado o maior numero de peças nos móveis que dispõe, evitando dessa forma que qualquer dos objetos doados, fiquem fora do acervo e estejam expostos.valorizando os doadores.</w:t>
      </w:r>
    </w:p>
    <w:p w:rsidR="00530D27" w:rsidRPr="00530D27" w:rsidRDefault="00530D27" w:rsidP="00530D27">
      <w:pPr>
        <w:autoSpaceDE/>
        <w:autoSpaceDN/>
        <w:jc w:val="both"/>
        <w:rPr>
          <w:rFonts w:ascii="Arial" w:eastAsia="Times New Roman" w:hAnsi="Arial" w:cs="Arial"/>
          <w:color w:val="FF0000"/>
          <w:lang w:val="pt-BR" w:eastAsia="pt-BR"/>
        </w:rPr>
      </w:pPr>
    </w:p>
    <w:p w:rsidR="00530D27" w:rsidRPr="00530D27" w:rsidRDefault="00530D27" w:rsidP="00530D27">
      <w:pPr>
        <w:autoSpaceDE/>
        <w:autoSpaceDN/>
        <w:jc w:val="both"/>
        <w:rPr>
          <w:rFonts w:ascii="Arial" w:eastAsia="Times New Roman" w:hAnsi="Arial" w:cs="Arial"/>
          <w:color w:val="FF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4.</w:t>
      </w:r>
      <w:r w:rsidR="006E5810">
        <w:rPr>
          <w:rFonts w:ascii="Arial" w:eastAsia="Times New Roman" w:hAnsi="Arial" w:cs="Arial"/>
          <w:b/>
          <w:color w:val="000000"/>
          <w:lang w:val="pt-BR" w:eastAsia="pt-BR"/>
        </w:rPr>
        <w:t xml:space="preserve"> </w:t>
      </w:r>
      <w:r w:rsidRPr="00530D27">
        <w:rPr>
          <w:rFonts w:ascii="Arial" w:eastAsia="Times New Roman" w:hAnsi="Arial" w:cs="Arial"/>
          <w:b/>
          <w:color w:val="000000"/>
          <w:lang w:val="pt-BR" w:eastAsia="pt-BR"/>
        </w:rPr>
        <w:t>ESTIMATIVAS DE QUANTIDADES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Nesse primeiro momento serão adquiridas as quantidades descritas a seguir para cada um dos </w:t>
      </w:r>
      <w:r w:rsidRPr="00530D27">
        <w:rPr>
          <w:rFonts w:ascii="Arial" w:eastAsia="Times New Roman" w:hAnsi="Arial" w:cs="Arial"/>
          <w:color w:val="000000"/>
          <w:lang w:val="pt-BR" w:eastAsia="pt-BR"/>
        </w:rPr>
        <w:lastRenderedPageBreak/>
        <w:t>itens.</w:t>
      </w:r>
    </w:p>
    <w:p w:rsidR="00530D27" w:rsidRPr="00530D27" w:rsidRDefault="00530D27" w:rsidP="00530D27">
      <w:pPr>
        <w:autoSpaceDE/>
        <w:autoSpaceDN/>
        <w:jc w:val="both"/>
        <w:rPr>
          <w:rFonts w:ascii="Arial" w:eastAsia="Times New Roman" w:hAnsi="Arial" w:cs="Arial"/>
          <w:color w:val="FF0000"/>
          <w:lang w:val="pt-BR" w:eastAsia="pt-BR"/>
        </w:rPr>
      </w:pPr>
    </w:p>
    <w:tbl>
      <w:tblPr>
        <w:tblStyle w:val="Tabelacomgrade"/>
        <w:tblW w:w="0" w:type="auto"/>
        <w:tblLook w:val="04A0"/>
      </w:tblPr>
      <w:tblGrid>
        <w:gridCol w:w="817"/>
        <w:gridCol w:w="6946"/>
        <w:gridCol w:w="1448"/>
      </w:tblGrid>
      <w:tr w:rsidR="00530D27" w:rsidRPr="00530D27" w:rsidTr="002D6812">
        <w:tc>
          <w:tcPr>
            <w:tcW w:w="817"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ITEM</w:t>
            </w:r>
          </w:p>
        </w:tc>
        <w:tc>
          <w:tcPr>
            <w:tcW w:w="6946"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BEM MÓVEL</w:t>
            </w:r>
          </w:p>
        </w:tc>
        <w:tc>
          <w:tcPr>
            <w:tcW w:w="1448"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QUANT.</w:t>
            </w:r>
          </w:p>
        </w:tc>
      </w:tr>
      <w:tr w:rsidR="00530D27" w:rsidRPr="00530D27" w:rsidTr="002D6812">
        <w:tc>
          <w:tcPr>
            <w:tcW w:w="817"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1</w:t>
            </w:r>
            <w:proofErr w:type="gramEnd"/>
          </w:p>
        </w:tc>
        <w:tc>
          <w:tcPr>
            <w:tcW w:w="6946" w:type="dxa"/>
          </w:tcPr>
          <w:p w:rsidR="00530D27" w:rsidRPr="00530D27" w:rsidRDefault="00530D27" w:rsidP="00530D27">
            <w:pPr>
              <w:jc w:val="both"/>
              <w:rPr>
                <w:rFonts w:ascii="Arial" w:eastAsia="Times New Roman" w:hAnsi="Arial" w:cs="Arial"/>
                <w:color w:val="FF0000"/>
                <w:lang w:val="pt-BR"/>
              </w:rPr>
            </w:pPr>
            <w:r w:rsidRPr="00530D27">
              <w:rPr>
                <w:rFonts w:ascii="Arial" w:eastAsia="Times New Roman" w:hAnsi="Arial" w:cs="Arial"/>
                <w:color w:val="000000"/>
                <w:lang w:val="pt-BR"/>
              </w:rPr>
              <w:t xml:space="preserve">Mesa em MDF, com comprimento de 1.00 </w:t>
            </w:r>
            <w:proofErr w:type="spellStart"/>
            <w:proofErr w:type="gramStart"/>
            <w:r w:rsidRPr="00530D27">
              <w:rPr>
                <w:rFonts w:ascii="Arial" w:eastAsia="Times New Roman" w:hAnsi="Arial" w:cs="Arial"/>
                <w:color w:val="000000"/>
                <w:lang w:val="pt-BR"/>
              </w:rPr>
              <w:t>Mt</w:t>
            </w:r>
            <w:proofErr w:type="spellEnd"/>
            <w:proofErr w:type="gramEnd"/>
            <w:r w:rsidRPr="00530D27">
              <w:rPr>
                <w:rFonts w:ascii="Arial" w:eastAsia="Times New Roman" w:hAnsi="Arial" w:cs="Arial"/>
                <w:color w:val="000000"/>
                <w:lang w:val="pt-BR"/>
              </w:rPr>
              <w:t>, e largura de 0.60Cm, na cor marrom ou amadeirada e com pés em forma de cantoneira.</w:t>
            </w:r>
          </w:p>
        </w:tc>
        <w:tc>
          <w:tcPr>
            <w:tcW w:w="1448"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7</w:t>
            </w:r>
            <w:proofErr w:type="gramEnd"/>
          </w:p>
        </w:tc>
      </w:tr>
      <w:tr w:rsidR="00530D27" w:rsidRPr="00530D27" w:rsidTr="002D6812">
        <w:tc>
          <w:tcPr>
            <w:tcW w:w="817"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2</w:t>
            </w:r>
            <w:proofErr w:type="gramEnd"/>
          </w:p>
        </w:tc>
        <w:tc>
          <w:tcPr>
            <w:tcW w:w="6946" w:type="dxa"/>
          </w:tcPr>
          <w:p w:rsidR="00530D27" w:rsidRPr="00530D27" w:rsidRDefault="00530D27" w:rsidP="00530D27">
            <w:pPr>
              <w:jc w:val="both"/>
              <w:rPr>
                <w:rFonts w:ascii="Arial" w:eastAsia="Times New Roman" w:hAnsi="Arial" w:cs="Arial"/>
                <w:color w:val="FF0000"/>
                <w:lang w:val="pt-BR"/>
              </w:rPr>
            </w:pPr>
            <w:r w:rsidRPr="00530D27">
              <w:rPr>
                <w:rFonts w:ascii="Arial" w:eastAsia="Times New Roman" w:hAnsi="Arial" w:cs="Arial"/>
                <w:color w:val="000000"/>
                <w:lang w:val="pt-BR"/>
              </w:rPr>
              <w:t xml:space="preserve">Roupeiro em MDP, com </w:t>
            </w:r>
            <w:proofErr w:type="gramStart"/>
            <w:r w:rsidRPr="00530D27">
              <w:rPr>
                <w:rFonts w:ascii="Arial" w:eastAsia="Times New Roman" w:hAnsi="Arial" w:cs="Arial"/>
                <w:color w:val="000000"/>
                <w:lang w:val="pt-BR"/>
              </w:rPr>
              <w:t>3</w:t>
            </w:r>
            <w:proofErr w:type="gramEnd"/>
            <w:r w:rsidRPr="00530D27">
              <w:rPr>
                <w:rFonts w:ascii="Arial" w:eastAsia="Times New Roman" w:hAnsi="Arial" w:cs="Arial"/>
                <w:color w:val="000000"/>
                <w:lang w:val="pt-BR"/>
              </w:rPr>
              <w:t xml:space="preserve"> portas e 2 Gavetas e 6 prateleiras, 1 </w:t>
            </w:r>
            <w:proofErr w:type="spellStart"/>
            <w:r w:rsidRPr="00530D27">
              <w:rPr>
                <w:rFonts w:ascii="Arial" w:eastAsia="Times New Roman" w:hAnsi="Arial" w:cs="Arial"/>
                <w:color w:val="000000"/>
                <w:lang w:val="pt-BR"/>
              </w:rPr>
              <w:t>cabideiro</w:t>
            </w:r>
            <w:proofErr w:type="spellEnd"/>
            <w:r w:rsidRPr="00530D27">
              <w:rPr>
                <w:rFonts w:ascii="Arial" w:eastAsia="Times New Roman" w:hAnsi="Arial" w:cs="Arial"/>
                <w:color w:val="000000"/>
                <w:lang w:val="pt-BR"/>
              </w:rPr>
              <w:t>. Com altura de 1.80, com largura de 0.80 Cm e profundidade de 0.46 Cm, na cor amêndoa</w:t>
            </w:r>
          </w:p>
        </w:tc>
        <w:tc>
          <w:tcPr>
            <w:tcW w:w="1448"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2</w:t>
            </w:r>
            <w:proofErr w:type="gramEnd"/>
          </w:p>
        </w:tc>
      </w:tr>
      <w:tr w:rsidR="00530D27" w:rsidRPr="00530D27" w:rsidTr="002D6812">
        <w:tc>
          <w:tcPr>
            <w:tcW w:w="817"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3</w:t>
            </w:r>
            <w:proofErr w:type="gramEnd"/>
          </w:p>
        </w:tc>
        <w:tc>
          <w:tcPr>
            <w:tcW w:w="6946" w:type="dxa"/>
          </w:tcPr>
          <w:p w:rsidR="00530D27" w:rsidRPr="00530D27" w:rsidRDefault="00530D27" w:rsidP="00530D27">
            <w:pPr>
              <w:jc w:val="both"/>
              <w:rPr>
                <w:rFonts w:ascii="Arial" w:eastAsia="Times New Roman" w:hAnsi="Arial" w:cs="Arial"/>
                <w:color w:val="FF0000"/>
                <w:lang w:val="pt-BR"/>
              </w:rPr>
            </w:pPr>
            <w:r w:rsidRPr="00530D27">
              <w:rPr>
                <w:rFonts w:ascii="Arial" w:eastAsia="Times New Roman" w:hAnsi="Arial" w:cs="Arial"/>
                <w:color w:val="000000"/>
                <w:lang w:val="pt-BR"/>
              </w:rPr>
              <w:t xml:space="preserve">Estante – Livreiro rústico em madeira de pinus, na cor marrom. Com altura de </w:t>
            </w:r>
            <w:proofErr w:type="gramStart"/>
            <w:r w:rsidRPr="00530D27">
              <w:rPr>
                <w:rFonts w:ascii="Arial" w:eastAsia="Times New Roman" w:hAnsi="Arial" w:cs="Arial"/>
                <w:color w:val="000000"/>
                <w:lang w:val="pt-BR"/>
              </w:rPr>
              <w:t xml:space="preserve">2.00 </w:t>
            </w:r>
            <w:proofErr w:type="spellStart"/>
            <w:r w:rsidRPr="00530D27">
              <w:rPr>
                <w:rFonts w:ascii="Arial" w:eastAsia="Times New Roman" w:hAnsi="Arial" w:cs="Arial"/>
                <w:color w:val="000000"/>
                <w:lang w:val="pt-BR"/>
              </w:rPr>
              <w:t>Mts</w:t>
            </w:r>
            <w:proofErr w:type="spellEnd"/>
            <w:proofErr w:type="gramEnd"/>
            <w:r w:rsidRPr="00530D27">
              <w:rPr>
                <w:rFonts w:ascii="Arial" w:eastAsia="Times New Roman" w:hAnsi="Arial" w:cs="Arial"/>
                <w:color w:val="000000"/>
                <w:lang w:val="pt-BR"/>
              </w:rPr>
              <w:t xml:space="preserve"> e comprimento de 0.74 Cm e profundidade de 0.35 Cm, fechada no fundo e com 4 prateleiras.</w:t>
            </w:r>
          </w:p>
        </w:tc>
        <w:tc>
          <w:tcPr>
            <w:tcW w:w="1448"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3</w:t>
            </w:r>
            <w:proofErr w:type="gramEnd"/>
          </w:p>
        </w:tc>
      </w:tr>
      <w:tr w:rsidR="00530D27" w:rsidRPr="00530D27" w:rsidTr="002D6812">
        <w:tc>
          <w:tcPr>
            <w:tcW w:w="817"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4</w:t>
            </w:r>
            <w:proofErr w:type="gramEnd"/>
          </w:p>
        </w:tc>
        <w:tc>
          <w:tcPr>
            <w:tcW w:w="6946" w:type="dxa"/>
          </w:tcPr>
          <w:p w:rsidR="00530D27" w:rsidRPr="00530D27" w:rsidRDefault="00530D27" w:rsidP="00530D27">
            <w:pPr>
              <w:jc w:val="both"/>
              <w:rPr>
                <w:rFonts w:ascii="Arial" w:eastAsia="Times New Roman" w:hAnsi="Arial" w:cs="Arial"/>
                <w:color w:val="FF0000"/>
                <w:lang w:val="pt-BR"/>
              </w:rPr>
            </w:pPr>
            <w:r w:rsidRPr="00530D27">
              <w:rPr>
                <w:rFonts w:ascii="Arial" w:eastAsia="Times New Roman" w:hAnsi="Arial" w:cs="Arial"/>
                <w:color w:val="000000"/>
                <w:lang w:val="pt-BR"/>
              </w:rPr>
              <w:t xml:space="preserve">Estante – Livreiro rústico em MDP, na marrom. Com altura de </w:t>
            </w:r>
            <w:proofErr w:type="gramStart"/>
            <w:r w:rsidRPr="00530D27">
              <w:rPr>
                <w:rFonts w:ascii="Arial" w:eastAsia="Times New Roman" w:hAnsi="Arial" w:cs="Arial"/>
                <w:color w:val="000000"/>
                <w:lang w:val="pt-BR"/>
              </w:rPr>
              <w:t xml:space="preserve">1.78 </w:t>
            </w:r>
            <w:proofErr w:type="spellStart"/>
            <w:r w:rsidRPr="00530D27">
              <w:rPr>
                <w:rFonts w:ascii="Arial" w:eastAsia="Times New Roman" w:hAnsi="Arial" w:cs="Arial"/>
                <w:color w:val="000000"/>
                <w:lang w:val="pt-BR"/>
              </w:rPr>
              <w:t>Mts</w:t>
            </w:r>
            <w:proofErr w:type="spellEnd"/>
            <w:proofErr w:type="gramEnd"/>
            <w:r w:rsidRPr="00530D27">
              <w:rPr>
                <w:rFonts w:ascii="Arial" w:eastAsia="Times New Roman" w:hAnsi="Arial" w:cs="Arial"/>
                <w:color w:val="000000"/>
                <w:lang w:val="pt-BR"/>
              </w:rPr>
              <w:t xml:space="preserve"> e largura de  0.50 Cm e profundidade de 0.35 Cm, com 4 prateleiras.</w:t>
            </w:r>
          </w:p>
        </w:tc>
        <w:tc>
          <w:tcPr>
            <w:tcW w:w="1448"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3</w:t>
            </w:r>
            <w:proofErr w:type="gramEnd"/>
          </w:p>
        </w:tc>
      </w:tr>
    </w:tbl>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Para embasar a quantidade necessária de cada um dos itens pretendidos levou-se em consideração o espaço físico, bem como</w:t>
      </w:r>
      <w:proofErr w:type="gramStart"/>
      <w:r w:rsidRPr="00530D27">
        <w:rPr>
          <w:rFonts w:ascii="Arial" w:eastAsia="Times New Roman" w:hAnsi="Arial" w:cs="Arial"/>
          <w:color w:val="000000"/>
          <w:lang w:val="pt-BR" w:eastAsia="pt-BR"/>
        </w:rPr>
        <w:t xml:space="preserve">  </w:t>
      </w:r>
      <w:proofErr w:type="gramEnd"/>
      <w:r w:rsidRPr="00530D27">
        <w:rPr>
          <w:rFonts w:ascii="Arial" w:eastAsia="Times New Roman" w:hAnsi="Arial" w:cs="Arial"/>
          <w:color w:val="000000"/>
          <w:lang w:val="pt-BR" w:eastAsia="pt-BR"/>
        </w:rPr>
        <w:t xml:space="preserve">o número de peças e outros objetos que estão em exposição e necessitam serem redistribuídos ou deslocados para outros espaços dentro do museu e  a possibilidade de continuar recebendo novas peças em doação no futuro. </w:t>
      </w:r>
    </w:p>
    <w:p w:rsidR="00530D27" w:rsidRPr="00530D27" w:rsidRDefault="00530D27" w:rsidP="00530D27">
      <w:pPr>
        <w:autoSpaceDE/>
        <w:autoSpaceDN/>
        <w:jc w:val="both"/>
        <w:rPr>
          <w:rFonts w:ascii="Arial" w:eastAsia="Times New Roman" w:hAnsi="Arial" w:cs="Arial"/>
          <w:color w:val="FF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5.</w:t>
      </w:r>
      <w:r w:rsidR="006E5810" w:rsidRPr="006E5810">
        <w:rPr>
          <w:rFonts w:ascii="Arial" w:eastAsia="Times New Roman" w:hAnsi="Arial" w:cs="Arial"/>
          <w:b/>
          <w:color w:val="000000"/>
          <w:lang w:val="pt-BR" w:eastAsia="pt-BR"/>
        </w:rPr>
        <w:t xml:space="preserve"> </w:t>
      </w:r>
      <w:r w:rsidRPr="00530D27">
        <w:rPr>
          <w:rFonts w:ascii="Arial" w:eastAsia="Times New Roman" w:hAnsi="Arial" w:cs="Arial"/>
          <w:b/>
          <w:color w:val="000000"/>
          <w:lang w:val="pt-BR" w:eastAsia="pt-BR"/>
        </w:rPr>
        <w:t>ESTIMATIVA DE VALOR</w:t>
      </w:r>
    </w:p>
    <w:p w:rsidR="00530D27" w:rsidRPr="00530D27" w:rsidRDefault="00530D27" w:rsidP="00530D27">
      <w:pPr>
        <w:autoSpaceDE/>
        <w:autoSpaceDN/>
        <w:jc w:val="both"/>
        <w:rPr>
          <w:rFonts w:ascii="Arial" w:eastAsia="Times New Roman" w:hAnsi="Arial" w:cs="Arial"/>
          <w:b/>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Para formar o preço final apresentado nesta ETP, buscou-se junto </w:t>
      </w:r>
      <w:proofErr w:type="gramStart"/>
      <w:r w:rsidRPr="00530D27">
        <w:rPr>
          <w:rFonts w:ascii="Arial" w:eastAsia="Times New Roman" w:hAnsi="Arial" w:cs="Arial"/>
          <w:color w:val="000000"/>
          <w:lang w:val="pt-BR" w:eastAsia="pt-BR"/>
        </w:rPr>
        <w:t>as</w:t>
      </w:r>
      <w:proofErr w:type="gramEnd"/>
      <w:r w:rsidRPr="00530D27">
        <w:rPr>
          <w:rFonts w:ascii="Arial" w:eastAsia="Times New Roman" w:hAnsi="Arial" w:cs="Arial"/>
          <w:color w:val="000000"/>
          <w:lang w:val="pt-BR" w:eastAsia="pt-BR"/>
        </w:rPr>
        <w:t xml:space="preserve"> empresas especializadas na comercialização dos bens móveis pretendidos, pesquisa de preços e apresentação dos orçamentos, os quais se encontram em anexo e descritos nos respectivos Formulários de Pesquisa de Preços, também anexados.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A partir dos preços observados nos orçamentos recebidos, levando-se em conta o menor valor de cada um dos itens, apurou-se a estimativa de preço conforme especificado a seguir:</w:t>
      </w:r>
    </w:p>
    <w:p w:rsidR="00530D27" w:rsidRPr="00530D27" w:rsidRDefault="00530D27" w:rsidP="00530D27">
      <w:pPr>
        <w:autoSpaceDE/>
        <w:autoSpaceDN/>
        <w:jc w:val="both"/>
        <w:rPr>
          <w:rFonts w:ascii="Arial" w:eastAsia="Times New Roman" w:hAnsi="Arial" w:cs="Arial"/>
          <w:color w:val="000000"/>
          <w:lang w:val="pt-BR" w:eastAsia="pt-BR"/>
        </w:rPr>
      </w:pPr>
    </w:p>
    <w:tbl>
      <w:tblPr>
        <w:tblStyle w:val="Tabelacomgrade"/>
        <w:tblW w:w="0" w:type="auto"/>
        <w:tblLook w:val="04A0"/>
      </w:tblPr>
      <w:tblGrid>
        <w:gridCol w:w="857"/>
        <w:gridCol w:w="4820"/>
        <w:gridCol w:w="1143"/>
        <w:gridCol w:w="1417"/>
        <w:gridCol w:w="1073"/>
      </w:tblGrid>
      <w:tr w:rsidR="00530D27" w:rsidRPr="00530D27" w:rsidTr="002D6812">
        <w:tc>
          <w:tcPr>
            <w:tcW w:w="857"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ITEM</w:t>
            </w:r>
          </w:p>
        </w:tc>
        <w:tc>
          <w:tcPr>
            <w:tcW w:w="4814"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BENS</w:t>
            </w:r>
          </w:p>
        </w:tc>
        <w:tc>
          <w:tcPr>
            <w:tcW w:w="1143"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QUANT.</w:t>
            </w:r>
          </w:p>
        </w:tc>
        <w:tc>
          <w:tcPr>
            <w:tcW w:w="1416"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V. UNIT.</w:t>
            </w:r>
          </w:p>
        </w:tc>
        <w:tc>
          <w:tcPr>
            <w:tcW w:w="1057" w:type="dxa"/>
          </w:tcPr>
          <w:p w:rsidR="00530D27" w:rsidRPr="00530D27" w:rsidRDefault="00530D27" w:rsidP="00530D27">
            <w:pPr>
              <w:jc w:val="center"/>
              <w:rPr>
                <w:rFonts w:ascii="Arial" w:eastAsia="Times New Roman" w:hAnsi="Arial" w:cs="Arial"/>
                <w:b/>
                <w:color w:val="000000"/>
                <w:lang w:val="pt-BR"/>
              </w:rPr>
            </w:pPr>
            <w:r w:rsidRPr="00530D27">
              <w:rPr>
                <w:rFonts w:ascii="Arial" w:eastAsia="Times New Roman" w:hAnsi="Arial" w:cs="Arial"/>
                <w:b/>
                <w:color w:val="000000"/>
                <w:lang w:val="pt-BR"/>
              </w:rPr>
              <w:t>TOTAL</w:t>
            </w:r>
          </w:p>
        </w:tc>
      </w:tr>
      <w:tr w:rsidR="00530D27" w:rsidRPr="00530D27" w:rsidTr="002D6812">
        <w:tc>
          <w:tcPr>
            <w:tcW w:w="857" w:type="dxa"/>
          </w:tcPr>
          <w:p w:rsidR="00530D27" w:rsidRPr="00530D27" w:rsidRDefault="00530D27" w:rsidP="00530D27">
            <w:pPr>
              <w:jc w:val="both"/>
              <w:rPr>
                <w:rFonts w:ascii="Arial" w:eastAsia="Times New Roman" w:hAnsi="Arial" w:cs="Arial"/>
                <w:color w:val="000000"/>
                <w:lang w:val="pt-BR"/>
              </w:rPr>
            </w:pPr>
            <w:proofErr w:type="gramStart"/>
            <w:r w:rsidRPr="00530D27">
              <w:rPr>
                <w:rFonts w:ascii="Arial" w:eastAsia="Times New Roman" w:hAnsi="Arial" w:cs="Arial"/>
                <w:color w:val="000000"/>
                <w:lang w:val="pt-BR"/>
              </w:rPr>
              <w:t>1</w:t>
            </w:r>
            <w:proofErr w:type="gramEnd"/>
          </w:p>
        </w:tc>
        <w:tc>
          <w:tcPr>
            <w:tcW w:w="4814"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 xml:space="preserve">Mesa em MDF, com comprimento de 1.00 </w:t>
            </w:r>
            <w:proofErr w:type="spellStart"/>
            <w:proofErr w:type="gramStart"/>
            <w:r w:rsidRPr="00530D27">
              <w:rPr>
                <w:rFonts w:ascii="Arial" w:eastAsia="Times New Roman" w:hAnsi="Arial" w:cs="Arial"/>
                <w:color w:val="000000"/>
                <w:lang w:val="pt-BR"/>
              </w:rPr>
              <w:t>Mt</w:t>
            </w:r>
            <w:proofErr w:type="spellEnd"/>
            <w:proofErr w:type="gramEnd"/>
            <w:r w:rsidRPr="00530D27">
              <w:rPr>
                <w:rFonts w:ascii="Arial" w:eastAsia="Times New Roman" w:hAnsi="Arial" w:cs="Arial"/>
                <w:color w:val="000000"/>
                <w:lang w:val="pt-BR"/>
              </w:rPr>
              <w:t>, e largura de 0.60Cm, na cor marrom ou amadeirada e com pés em forma de cantoneira.</w:t>
            </w:r>
          </w:p>
        </w:tc>
        <w:tc>
          <w:tcPr>
            <w:tcW w:w="1143"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7</w:t>
            </w:r>
            <w:proofErr w:type="gramEnd"/>
          </w:p>
        </w:tc>
        <w:tc>
          <w:tcPr>
            <w:tcW w:w="1416"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480,00</w:t>
            </w:r>
          </w:p>
        </w:tc>
        <w:tc>
          <w:tcPr>
            <w:tcW w:w="1057"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3.360,00</w:t>
            </w:r>
          </w:p>
        </w:tc>
      </w:tr>
      <w:tr w:rsidR="00530D27" w:rsidRPr="00530D27" w:rsidTr="002D6812">
        <w:tc>
          <w:tcPr>
            <w:tcW w:w="857" w:type="dxa"/>
          </w:tcPr>
          <w:p w:rsidR="00530D27" w:rsidRPr="00530D27" w:rsidRDefault="00530D27" w:rsidP="00530D27">
            <w:pPr>
              <w:jc w:val="both"/>
              <w:rPr>
                <w:rFonts w:ascii="Arial" w:eastAsia="Times New Roman" w:hAnsi="Arial" w:cs="Arial"/>
                <w:color w:val="000000"/>
                <w:lang w:val="pt-BR"/>
              </w:rPr>
            </w:pPr>
            <w:proofErr w:type="gramStart"/>
            <w:r w:rsidRPr="00530D27">
              <w:rPr>
                <w:rFonts w:ascii="Arial" w:eastAsia="Times New Roman" w:hAnsi="Arial" w:cs="Arial"/>
                <w:color w:val="000000"/>
                <w:lang w:val="pt-BR"/>
              </w:rPr>
              <w:t>2</w:t>
            </w:r>
            <w:proofErr w:type="gramEnd"/>
          </w:p>
        </w:tc>
        <w:tc>
          <w:tcPr>
            <w:tcW w:w="4814"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 xml:space="preserve">Roupeiro em MDP, com </w:t>
            </w:r>
            <w:proofErr w:type="gramStart"/>
            <w:r w:rsidRPr="00530D27">
              <w:rPr>
                <w:rFonts w:ascii="Arial" w:eastAsia="Times New Roman" w:hAnsi="Arial" w:cs="Arial"/>
                <w:color w:val="000000"/>
                <w:lang w:val="pt-BR"/>
              </w:rPr>
              <w:t>3</w:t>
            </w:r>
            <w:proofErr w:type="gramEnd"/>
            <w:r w:rsidRPr="00530D27">
              <w:rPr>
                <w:rFonts w:ascii="Arial" w:eastAsia="Times New Roman" w:hAnsi="Arial" w:cs="Arial"/>
                <w:color w:val="000000"/>
                <w:lang w:val="pt-BR"/>
              </w:rPr>
              <w:t xml:space="preserve"> portas e 2 Gavetas e 6 prateleiras, 1 </w:t>
            </w:r>
            <w:proofErr w:type="spellStart"/>
            <w:r w:rsidRPr="00530D27">
              <w:rPr>
                <w:rFonts w:ascii="Arial" w:eastAsia="Times New Roman" w:hAnsi="Arial" w:cs="Arial"/>
                <w:color w:val="000000"/>
                <w:lang w:val="pt-BR"/>
              </w:rPr>
              <w:t>cabideiro</w:t>
            </w:r>
            <w:proofErr w:type="spellEnd"/>
            <w:r w:rsidRPr="00530D27">
              <w:rPr>
                <w:rFonts w:ascii="Arial" w:eastAsia="Times New Roman" w:hAnsi="Arial" w:cs="Arial"/>
                <w:color w:val="000000"/>
                <w:lang w:val="pt-BR"/>
              </w:rPr>
              <w:t>. Com altura de 1.80, com largura de 0.80 Cm e profundidade de 0.46 Cm, na cor amêndoa</w:t>
            </w:r>
          </w:p>
        </w:tc>
        <w:tc>
          <w:tcPr>
            <w:tcW w:w="1143" w:type="dxa"/>
          </w:tcPr>
          <w:p w:rsidR="00530D27" w:rsidRPr="00530D27" w:rsidRDefault="00530D27" w:rsidP="00530D27">
            <w:pPr>
              <w:jc w:val="center"/>
              <w:rPr>
                <w:rFonts w:ascii="Arial" w:eastAsia="Times New Roman" w:hAnsi="Arial" w:cs="Arial"/>
                <w:color w:val="000000"/>
                <w:lang w:val="pt-BR"/>
              </w:rPr>
            </w:pPr>
            <w:r w:rsidRPr="00530D27">
              <w:rPr>
                <w:rFonts w:ascii="Arial" w:eastAsia="Times New Roman" w:hAnsi="Arial" w:cs="Arial"/>
                <w:color w:val="000000"/>
                <w:lang w:val="pt-BR"/>
              </w:rPr>
              <w:t xml:space="preserve"> </w:t>
            </w:r>
            <w:proofErr w:type="gramStart"/>
            <w:r w:rsidRPr="00530D27">
              <w:rPr>
                <w:rFonts w:ascii="Arial" w:eastAsia="Times New Roman" w:hAnsi="Arial" w:cs="Arial"/>
                <w:color w:val="000000"/>
                <w:lang w:val="pt-BR"/>
              </w:rPr>
              <w:t>2</w:t>
            </w:r>
            <w:proofErr w:type="gramEnd"/>
          </w:p>
        </w:tc>
        <w:tc>
          <w:tcPr>
            <w:tcW w:w="1416"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529,00</w:t>
            </w:r>
          </w:p>
        </w:tc>
        <w:tc>
          <w:tcPr>
            <w:tcW w:w="1057"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1.058,00</w:t>
            </w:r>
          </w:p>
        </w:tc>
      </w:tr>
      <w:tr w:rsidR="00530D27" w:rsidRPr="00530D27" w:rsidTr="002D6812">
        <w:tc>
          <w:tcPr>
            <w:tcW w:w="817" w:type="dxa"/>
          </w:tcPr>
          <w:p w:rsidR="00530D27" w:rsidRPr="00530D27" w:rsidRDefault="00530D27" w:rsidP="00530D27">
            <w:pPr>
              <w:jc w:val="both"/>
              <w:rPr>
                <w:rFonts w:ascii="Arial" w:eastAsia="Times New Roman" w:hAnsi="Arial" w:cs="Arial"/>
                <w:color w:val="000000"/>
                <w:lang w:val="pt-BR"/>
              </w:rPr>
            </w:pPr>
            <w:proofErr w:type="gramStart"/>
            <w:r w:rsidRPr="00530D27">
              <w:rPr>
                <w:rFonts w:ascii="Arial" w:eastAsia="Times New Roman" w:hAnsi="Arial" w:cs="Arial"/>
                <w:color w:val="000000"/>
                <w:lang w:val="pt-BR"/>
              </w:rPr>
              <w:t>3</w:t>
            </w:r>
            <w:proofErr w:type="gramEnd"/>
          </w:p>
        </w:tc>
        <w:tc>
          <w:tcPr>
            <w:tcW w:w="4820"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 xml:space="preserve">Estante – Livreiro rústico em madeira de pinus, na cor marrom. Com altura de </w:t>
            </w:r>
            <w:proofErr w:type="gramStart"/>
            <w:r w:rsidRPr="00530D27">
              <w:rPr>
                <w:rFonts w:ascii="Arial" w:eastAsia="Times New Roman" w:hAnsi="Arial" w:cs="Arial"/>
                <w:color w:val="000000"/>
                <w:lang w:val="pt-BR"/>
              </w:rPr>
              <w:t xml:space="preserve">2.00 </w:t>
            </w:r>
            <w:proofErr w:type="spellStart"/>
            <w:r w:rsidRPr="00530D27">
              <w:rPr>
                <w:rFonts w:ascii="Arial" w:eastAsia="Times New Roman" w:hAnsi="Arial" w:cs="Arial"/>
                <w:color w:val="000000"/>
                <w:lang w:val="pt-BR"/>
              </w:rPr>
              <w:t>Mts</w:t>
            </w:r>
            <w:proofErr w:type="spellEnd"/>
            <w:proofErr w:type="gramEnd"/>
            <w:r w:rsidRPr="00530D27">
              <w:rPr>
                <w:rFonts w:ascii="Arial" w:eastAsia="Times New Roman" w:hAnsi="Arial" w:cs="Arial"/>
                <w:color w:val="000000"/>
                <w:lang w:val="pt-BR"/>
              </w:rPr>
              <w:t xml:space="preserve"> e comprimento de 0.74 Cm e profundidade de 0.35 Cm, fechada no fundo e com 4 prateleiras.</w:t>
            </w:r>
          </w:p>
        </w:tc>
        <w:tc>
          <w:tcPr>
            <w:tcW w:w="1134" w:type="dxa"/>
          </w:tcPr>
          <w:p w:rsidR="00530D27" w:rsidRPr="00530D27" w:rsidRDefault="00530D27" w:rsidP="00530D27">
            <w:pPr>
              <w:jc w:val="center"/>
              <w:rPr>
                <w:rFonts w:ascii="Arial" w:eastAsia="Times New Roman" w:hAnsi="Arial" w:cs="Arial"/>
                <w:color w:val="000000"/>
                <w:lang w:val="pt-BR"/>
              </w:rPr>
            </w:pPr>
            <w:proofErr w:type="gramStart"/>
            <w:r w:rsidRPr="00530D27">
              <w:rPr>
                <w:rFonts w:ascii="Arial" w:eastAsia="Times New Roman" w:hAnsi="Arial" w:cs="Arial"/>
                <w:color w:val="000000"/>
                <w:lang w:val="pt-BR"/>
              </w:rPr>
              <w:t>3</w:t>
            </w:r>
            <w:proofErr w:type="gramEnd"/>
          </w:p>
        </w:tc>
        <w:tc>
          <w:tcPr>
            <w:tcW w:w="1417"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549,00</w:t>
            </w:r>
          </w:p>
        </w:tc>
        <w:tc>
          <w:tcPr>
            <w:tcW w:w="1023"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1.647,00</w:t>
            </w:r>
          </w:p>
        </w:tc>
      </w:tr>
      <w:tr w:rsidR="00530D27" w:rsidRPr="00530D27" w:rsidTr="002D6812">
        <w:tc>
          <w:tcPr>
            <w:tcW w:w="817" w:type="dxa"/>
          </w:tcPr>
          <w:p w:rsidR="00530D27" w:rsidRPr="00530D27" w:rsidRDefault="00530D27" w:rsidP="00530D27">
            <w:pPr>
              <w:jc w:val="both"/>
              <w:rPr>
                <w:rFonts w:ascii="Arial" w:eastAsia="Times New Roman" w:hAnsi="Arial" w:cs="Arial"/>
                <w:color w:val="000000"/>
                <w:lang w:val="pt-BR"/>
              </w:rPr>
            </w:pPr>
            <w:proofErr w:type="gramStart"/>
            <w:r w:rsidRPr="00530D27">
              <w:rPr>
                <w:rFonts w:ascii="Arial" w:eastAsia="Times New Roman" w:hAnsi="Arial" w:cs="Arial"/>
                <w:color w:val="000000"/>
                <w:lang w:val="pt-BR"/>
              </w:rPr>
              <w:t>4</w:t>
            </w:r>
            <w:proofErr w:type="gramEnd"/>
          </w:p>
        </w:tc>
        <w:tc>
          <w:tcPr>
            <w:tcW w:w="4820"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 xml:space="preserve">Estante – Livreiro rústico em MDP, na marrom. Com altura de </w:t>
            </w:r>
            <w:proofErr w:type="gramStart"/>
            <w:r w:rsidRPr="00530D27">
              <w:rPr>
                <w:rFonts w:ascii="Arial" w:eastAsia="Times New Roman" w:hAnsi="Arial" w:cs="Arial"/>
                <w:color w:val="000000"/>
                <w:lang w:val="pt-BR"/>
              </w:rPr>
              <w:t xml:space="preserve">1.78 </w:t>
            </w:r>
            <w:proofErr w:type="spellStart"/>
            <w:r w:rsidRPr="00530D27">
              <w:rPr>
                <w:rFonts w:ascii="Arial" w:eastAsia="Times New Roman" w:hAnsi="Arial" w:cs="Arial"/>
                <w:color w:val="000000"/>
                <w:lang w:val="pt-BR"/>
              </w:rPr>
              <w:t>Mts</w:t>
            </w:r>
            <w:proofErr w:type="spellEnd"/>
            <w:proofErr w:type="gramEnd"/>
            <w:r w:rsidRPr="00530D27">
              <w:rPr>
                <w:rFonts w:ascii="Arial" w:eastAsia="Times New Roman" w:hAnsi="Arial" w:cs="Arial"/>
                <w:color w:val="000000"/>
                <w:lang w:val="pt-BR"/>
              </w:rPr>
              <w:t xml:space="preserve"> e largura de  0.50 Cm e profundidade de 0.35 Cm, com 4 prateleiras.</w:t>
            </w:r>
          </w:p>
        </w:tc>
        <w:tc>
          <w:tcPr>
            <w:tcW w:w="1134" w:type="dxa"/>
          </w:tcPr>
          <w:p w:rsidR="00530D27" w:rsidRPr="00530D27" w:rsidRDefault="002E30E0" w:rsidP="00530D27">
            <w:pPr>
              <w:jc w:val="center"/>
              <w:rPr>
                <w:rFonts w:ascii="Arial" w:eastAsia="Times New Roman" w:hAnsi="Arial" w:cs="Arial"/>
                <w:color w:val="000000"/>
                <w:lang w:val="pt-BR"/>
              </w:rPr>
            </w:pPr>
            <w:proofErr w:type="gramStart"/>
            <w:r>
              <w:rPr>
                <w:rFonts w:ascii="Arial" w:eastAsia="Times New Roman" w:hAnsi="Arial" w:cs="Arial"/>
                <w:color w:val="000000"/>
                <w:lang w:val="pt-BR"/>
              </w:rPr>
              <w:t>3</w:t>
            </w:r>
            <w:proofErr w:type="gramEnd"/>
          </w:p>
        </w:tc>
        <w:tc>
          <w:tcPr>
            <w:tcW w:w="1417"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259,00</w:t>
            </w:r>
          </w:p>
        </w:tc>
        <w:tc>
          <w:tcPr>
            <w:tcW w:w="1023" w:type="dxa"/>
          </w:tcPr>
          <w:p w:rsidR="00530D27" w:rsidRPr="00530D27" w:rsidRDefault="00530D27" w:rsidP="00530D27">
            <w:pPr>
              <w:jc w:val="both"/>
              <w:rPr>
                <w:rFonts w:ascii="Arial" w:eastAsia="Times New Roman" w:hAnsi="Arial" w:cs="Arial"/>
                <w:color w:val="000000"/>
                <w:lang w:val="pt-BR"/>
              </w:rPr>
            </w:pPr>
            <w:r w:rsidRPr="00530D27">
              <w:rPr>
                <w:rFonts w:ascii="Arial" w:eastAsia="Times New Roman" w:hAnsi="Arial" w:cs="Arial"/>
                <w:color w:val="000000"/>
                <w:lang w:val="pt-BR"/>
              </w:rPr>
              <w:t>777,00</w:t>
            </w:r>
          </w:p>
        </w:tc>
      </w:tr>
      <w:tr w:rsidR="00530D27" w:rsidRPr="00530D27" w:rsidTr="002D6812">
        <w:tc>
          <w:tcPr>
            <w:tcW w:w="8230" w:type="dxa"/>
            <w:gridSpan w:val="4"/>
          </w:tcPr>
          <w:p w:rsidR="00530D27" w:rsidRPr="00530D27" w:rsidRDefault="00530D27" w:rsidP="00530D27">
            <w:pPr>
              <w:jc w:val="both"/>
              <w:rPr>
                <w:rFonts w:ascii="Arial" w:eastAsia="Times New Roman" w:hAnsi="Arial" w:cs="Arial"/>
                <w:b/>
                <w:color w:val="000000"/>
                <w:lang w:val="pt-BR"/>
              </w:rPr>
            </w:pPr>
            <w:r w:rsidRPr="00530D27">
              <w:rPr>
                <w:rFonts w:ascii="Arial" w:eastAsia="Times New Roman" w:hAnsi="Arial" w:cs="Arial"/>
                <w:b/>
                <w:color w:val="000000"/>
                <w:lang w:val="pt-BR"/>
              </w:rPr>
              <w:t>TOTAL</w:t>
            </w:r>
          </w:p>
        </w:tc>
        <w:tc>
          <w:tcPr>
            <w:tcW w:w="1023" w:type="dxa"/>
          </w:tcPr>
          <w:p w:rsidR="00530D27" w:rsidRPr="00530D27" w:rsidRDefault="00530D27" w:rsidP="00530D27">
            <w:pPr>
              <w:jc w:val="both"/>
              <w:rPr>
                <w:rFonts w:ascii="Arial" w:eastAsia="Times New Roman" w:hAnsi="Arial" w:cs="Arial"/>
                <w:b/>
                <w:color w:val="000000"/>
                <w:lang w:val="pt-BR"/>
              </w:rPr>
            </w:pPr>
            <w:r w:rsidRPr="00530D27">
              <w:rPr>
                <w:rFonts w:ascii="Arial" w:eastAsia="Times New Roman" w:hAnsi="Arial" w:cs="Arial"/>
                <w:b/>
                <w:color w:val="000000"/>
                <w:lang w:val="pt-BR"/>
              </w:rPr>
              <w:t>6.842,00</w:t>
            </w:r>
          </w:p>
        </w:tc>
      </w:tr>
    </w:tbl>
    <w:p w:rsidR="00530D27" w:rsidRPr="00530D27" w:rsidRDefault="00530D27" w:rsidP="00530D27">
      <w:pPr>
        <w:autoSpaceDE/>
        <w:autoSpaceDN/>
        <w:jc w:val="both"/>
        <w:rPr>
          <w:rFonts w:ascii="Arial" w:eastAsia="Times New Roman" w:hAnsi="Arial" w:cs="Arial"/>
          <w:color w:val="FF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As propostas apresentadas em orçamentos estão </w:t>
      </w:r>
      <w:proofErr w:type="gramStart"/>
      <w:r w:rsidRPr="00530D27">
        <w:rPr>
          <w:rFonts w:ascii="Arial" w:eastAsia="Times New Roman" w:hAnsi="Arial" w:cs="Arial"/>
          <w:color w:val="000000"/>
          <w:lang w:val="pt-BR" w:eastAsia="pt-BR"/>
        </w:rPr>
        <w:t>anexadas ao Presente Estudo Técnico Preliminar, perfazendo um valor global</w:t>
      </w:r>
      <w:proofErr w:type="gramEnd"/>
      <w:r w:rsidRPr="00530D27">
        <w:rPr>
          <w:rFonts w:ascii="Arial" w:eastAsia="Times New Roman" w:hAnsi="Arial" w:cs="Arial"/>
          <w:color w:val="000000"/>
          <w:lang w:val="pt-BR" w:eastAsia="pt-BR"/>
        </w:rPr>
        <w:t xml:space="preserve"> de R$ 6.842,00(seis mil oitocentos e quarenta e dois reais).</w:t>
      </w:r>
    </w:p>
    <w:p w:rsidR="006E5810" w:rsidRPr="006E5810" w:rsidRDefault="006E5810" w:rsidP="00530D27">
      <w:pPr>
        <w:autoSpaceDE/>
        <w:autoSpaceDN/>
        <w:jc w:val="both"/>
        <w:rPr>
          <w:rFonts w:ascii="Arial" w:eastAsia="Times New Roman" w:hAnsi="Arial" w:cs="Arial"/>
          <w:b/>
          <w:color w:val="00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6. DESCRIÇÃO DA SOLUÇÃO COMO UM TODO, INCLUSIVE DAS EXIGÊNCIAS RELACIONADAS À MANUTENÇÃO E À ASSISTÊNCIA TÉCNICA, QUANDO FOR O CASO.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O presente instrumento tem o propósito de formalizar a cotação de preços de mercado para futura aquisição de fornecedor de bens (Inciso X, do Art. 6º da Lei 14133/2021).</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Os bens serão adquiridos numa única vez, devendo o fornecedor fazer a entrega em até 30 dias após a emissão da respectiva AF.</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Como são recursos destinados através da PNAB (Política Nacional Aldir Blanc), esses deverão ser utilizados até o final deste exercício, razão pela qual serão adquiridos de forma imediata, não podendo ultrapassar a entrega ou o pagamento para o exercício de 2025.</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7. DETALHAMENTO DA SOLUÇÃO ESCOLHIDA</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A solução que melhor se apresenta a aquisição imediata, também com a entrega numa única vez, sem parcelamento abrindo-se prazo de até 30 dias, após a conclusão de processo de compra e a conseqüente emissão da AF, para a entrega dos bens. Possibilitando assim o cumprimento das determinações da PNAB (Política Nacional Aldir Blanc), que </w:t>
      </w:r>
      <w:proofErr w:type="spellStart"/>
      <w:r w:rsidRPr="00530D27">
        <w:rPr>
          <w:rFonts w:ascii="Arial" w:eastAsia="Times New Roman" w:hAnsi="Arial" w:cs="Arial"/>
          <w:color w:val="000000"/>
          <w:lang w:val="pt-BR" w:eastAsia="pt-BR"/>
        </w:rPr>
        <w:t>preve</w:t>
      </w:r>
      <w:proofErr w:type="spellEnd"/>
      <w:r w:rsidRPr="00530D27">
        <w:rPr>
          <w:rFonts w:ascii="Arial" w:eastAsia="Times New Roman" w:hAnsi="Arial" w:cs="Arial"/>
          <w:color w:val="000000"/>
          <w:lang w:val="pt-BR" w:eastAsia="pt-BR"/>
        </w:rPr>
        <w:t xml:space="preserve"> o uso dos recursos até 31 de dezembro de 2024, sem prorrogação.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8. DEMOSTRATIVO DOS RESULTADOS PRETENDIDOS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A aquisição dos bens especificados permitirá um melhor aproveitamento do espaço do Museu Comunitário, permitindo uma melhor organização e disposição das peças/objetos </w:t>
      </w:r>
      <w:proofErr w:type="gramStart"/>
      <w:r w:rsidRPr="00530D27">
        <w:rPr>
          <w:rFonts w:ascii="Arial" w:eastAsia="Times New Roman" w:hAnsi="Arial" w:cs="Arial"/>
          <w:color w:val="000000"/>
          <w:lang w:val="pt-BR" w:eastAsia="pt-BR"/>
        </w:rPr>
        <w:t>expostas(</w:t>
      </w:r>
      <w:proofErr w:type="gramEnd"/>
      <w:r w:rsidRPr="00530D27">
        <w:rPr>
          <w:rFonts w:ascii="Arial" w:eastAsia="Times New Roman" w:hAnsi="Arial" w:cs="Arial"/>
          <w:color w:val="000000"/>
          <w:lang w:val="pt-BR" w:eastAsia="pt-BR"/>
        </w:rPr>
        <w:t>os), criando um ambiente adequado de distribuição do acervo, além de garantir novos espaços para receber eventuais doações de peças e objetos.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A partir de 2023, com a reabertura de museu para exposição e visitação, estão sendo utilizados alguns móveis resgatados de outras secretárias e órgãos do município, até mesmo de depósitos. Alguns deles já chegaram deteriorados e até causam má impressão pelo aspecto.  Agora com a aquisição</w:t>
      </w:r>
      <w:proofErr w:type="gramStart"/>
      <w:r w:rsidRPr="00530D27">
        <w:rPr>
          <w:rFonts w:ascii="Arial" w:eastAsia="Times New Roman" w:hAnsi="Arial" w:cs="Arial"/>
          <w:color w:val="000000"/>
          <w:lang w:val="pt-BR" w:eastAsia="pt-BR"/>
        </w:rPr>
        <w:t xml:space="preserve">  </w:t>
      </w:r>
      <w:proofErr w:type="gramEnd"/>
      <w:r w:rsidRPr="00530D27">
        <w:rPr>
          <w:rFonts w:ascii="Arial" w:eastAsia="Times New Roman" w:hAnsi="Arial" w:cs="Arial"/>
          <w:color w:val="000000"/>
          <w:lang w:val="pt-BR" w:eastAsia="pt-BR"/>
        </w:rPr>
        <w:t>de novos bens móveis, estes serão substituídos a irão proporcionar uma melhor distribuição e melhor aspecto.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Os bens substituídos, serão devolvidos aos locais onde se encontravam anteriormente</w:t>
      </w:r>
      <w:proofErr w:type="gramStart"/>
      <w:r w:rsidRPr="00530D27">
        <w:rPr>
          <w:rFonts w:ascii="Arial" w:eastAsia="Times New Roman" w:hAnsi="Arial" w:cs="Arial"/>
          <w:color w:val="000000"/>
          <w:lang w:val="pt-BR" w:eastAsia="pt-BR"/>
        </w:rPr>
        <w:t xml:space="preserve">  </w:t>
      </w:r>
      <w:proofErr w:type="gramEnd"/>
      <w:r w:rsidRPr="00530D27">
        <w:rPr>
          <w:rFonts w:ascii="Arial" w:eastAsia="Times New Roman" w:hAnsi="Arial" w:cs="Arial"/>
          <w:color w:val="000000"/>
          <w:lang w:val="pt-BR" w:eastAsia="pt-BR"/>
        </w:rPr>
        <w:t>ou descartados de forma correta aqueles que não terão mais utilidade pelos anos de uso e estado de conservação.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9. PROVIDÊNCIAS PRÉVIAS À CELEBRAÇÃO DE CONTRATO.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A contratação seguira as disposições do Decreto Municipal nº 2793, de 29 de julho de 2023, e, nos pontos omissos, buscará amparo no Art. 75, da Lei Federal 14</w:t>
      </w:r>
      <w:proofErr w:type="gramStart"/>
      <w:r w:rsidRPr="00530D27">
        <w:rPr>
          <w:rFonts w:ascii="Arial" w:eastAsia="Times New Roman" w:hAnsi="Arial" w:cs="Arial"/>
          <w:color w:val="000000"/>
          <w:lang w:val="pt-BR" w:eastAsia="pt-BR"/>
        </w:rPr>
        <w:t>..</w:t>
      </w:r>
      <w:proofErr w:type="gramEnd"/>
      <w:r w:rsidRPr="00530D27">
        <w:rPr>
          <w:rFonts w:ascii="Arial" w:eastAsia="Times New Roman" w:hAnsi="Arial" w:cs="Arial"/>
          <w:color w:val="000000"/>
          <w:lang w:val="pt-BR" w:eastAsia="pt-BR"/>
        </w:rPr>
        <w:t>133/2021.</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A gestão e fiscalização do respectivo contrato e a entrega dos bens/equipamentos </w:t>
      </w:r>
      <w:proofErr w:type="gramStart"/>
      <w:r w:rsidRPr="00530D27">
        <w:rPr>
          <w:rFonts w:ascii="Arial" w:eastAsia="Times New Roman" w:hAnsi="Arial" w:cs="Arial"/>
          <w:color w:val="000000"/>
          <w:lang w:val="pt-BR" w:eastAsia="pt-BR"/>
        </w:rPr>
        <w:t>ficará</w:t>
      </w:r>
      <w:proofErr w:type="gramEnd"/>
      <w:r w:rsidRPr="00530D27">
        <w:rPr>
          <w:rFonts w:ascii="Arial" w:eastAsia="Times New Roman" w:hAnsi="Arial" w:cs="Arial"/>
          <w:color w:val="000000"/>
          <w:lang w:val="pt-BR" w:eastAsia="pt-BR"/>
        </w:rPr>
        <w:t xml:space="preserve"> a cargo do Servidor Fernando Henrique </w:t>
      </w:r>
      <w:proofErr w:type="spellStart"/>
      <w:r w:rsidRPr="00530D27">
        <w:rPr>
          <w:rFonts w:ascii="Arial" w:eastAsia="Times New Roman" w:hAnsi="Arial" w:cs="Arial"/>
          <w:color w:val="000000"/>
          <w:lang w:val="pt-BR" w:eastAsia="pt-BR"/>
        </w:rPr>
        <w:t>Tecchio</w:t>
      </w:r>
      <w:proofErr w:type="spellEnd"/>
      <w:r w:rsidRPr="00530D27">
        <w:rPr>
          <w:rFonts w:ascii="Arial" w:eastAsia="Times New Roman" w:hAnsi="Arial" w:cs="Arial"/>
          <w:color w:val="000000"/>
          <w:lang w:val="pt-BR" w:eastAsia="pt-BR"/>
        </w:rPr>
        <w:t xml:space="preserve"> da Silva, fiscal de contratos da Secretaria Municipal de Educação, Cultura e Esportes.</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10. CONCLUSÃO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Considerando as posições adotadas e as recomendação apresentadas quanto a </w:t>
      </w:r>
      <w:proofErr w:type="spellStart"/>
      <w:r w:rsidRPr="00530D27">
        <w:rPr>
          <w:rFonts w:ascii="Arial" w:eastAsia="Times New Roman" w:hAnsi="Arial" w:cs="Arial"/>
          <w:color w:val="000000"/>
          <w:lang w:val="pt-BR" w:eastAsia="pt-BR"/>
        </w:rPr>
        <w:t>viabilizade</w:t>
      </w:r>
      <w:proofErr w:type="spellEnd"/>
      <w:r w:rsidRPr="00530D27">
        <w:rPr>
          <w:rFonts w:ascii="Arial" w:eastAsia="Times New Roman" w:hAnsi="Arial" w:cs="Arial"/>
          <w:color w:val="000000"/>
          <w:lang w:val="pt-BR" w:eastAsia="pt-BR"/>
        </w:rPr>
        <w:t xml:space="preserve"> e as vantagens da cotação de preços visando a aquisição dos bens, bem como a eficiência do </w:t>
      </w:r>
      <w:r w:rsidRPr="00530D27">
        <w:rPr>
          <w:rFonts w:ascii="Arial" w:eastAsia="Times New Roman" w:hAnsi="Arial" w:cs="Arial"/>
          <w:color w:val="000000"/>
          <w:lang w:val="pt-BR" w:eastAsia="pt-BR"/>
        </w:rPr>
        <w:lastRenderedPageBreak/>
        <w:t>histórico de eficiência dos processos licitatórias semelhantes, entende-se este</w:t>
      </w:r>
      <w:proofErr w:type="gramStart"/>
      <w:r w:rsidRPr="00530D27">
        <w:rPr>
          <w:rFonts w:ascii="Arial" w:eastAsia="Times New Roman" w:hAnsi="Arial" w:cs="Arial"/>
          <w:color w:val="000000"/>
          <w:lang w:val="pt-BR" w:eastAsia="pt-BR"/>
        </w:rPr>
        <w:t xml:space="preserve">  </w:t>
      </w:r>
      <w:proofErr w:type="gramEnd"/>
      <w:r w:rsidRPr="00530D27">
        <w:rPr>
          <w:rFonts w:ascii="Arial" w:eastAsia="Times New Roman" w:hAnsi="Arial" w:cs="Arial"/>
          <w:color w:val="000000"/>
          <w:lang w:val="pt-BR" w:eastAsia="pt-BR"/>
        </w:rPr>
        <w:t>como apto para os procedimentos e as diligências licitatórias, recomendando a realização do processo licitatório que melhor se adéqua  para futura aquisição, com atenção a nova legislação relativa aos processos de licitações e as alterações necessárias que a acompanham.</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Edson Luiz </w:t>
      </w:r>
      <w:proofErr w:type="spellStart"/>
      <w:r w:rsidRPr="00530D27">
        <w:rPr>
          <w:rFonts w:ascii="Arial" w:eastAsia="Times New Roman" w:hAnsi="Arial" w:cs="Arial"/>
          <w:color w:val="000000"/>
          <w:lang w:val="pt-BR" w:eastAsia="pt-BR"/>
        </w:rPr>
        <w:t>Bogoni</w:t>
      </w:r>
      <w:proofErr w:type="spellEnd"/>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Responsável pela elaboração do Estudo Técnico Preliminar</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b/>
          <w:color w:val="000000"/>
          <w:lang w:val="pt-BR" w:eastAsia="pt-BR"/>
        </w:rPr>
      </w:pPr>
      <w:r w:rsidRPr="00530D27">
        <w:rPr>
          <w:rFonts w:ascii="Arial" w:eastAsia="Times New Roman" w:hAnsi="Arial" w:cs="Arial"/>
          <w:b/>
          <w:color w:val="000000"/>
          <w:lang w:val="pt-BR" w:eastAsia="pt-BR"/>
        </w:rPr>
        <w:t>11. APROVAÇÃO</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6E5810">
        <w:rPr>
          <w:rFonts w:ascii="Arial" w:eastAsia="Times New Roman" w:hAnsi="Arial" w:cs="Arial"/>
          <w:color w:val="000000"/>
          <w:lang w:val="pt-BR" w:eastAsia="pt-BR"/>
        </w:rPr>
        <w:t xml:space="preserve">Após análise </w:t>
      </w:r>
      <w:r w:rsidRPr="00530D27">
        <w:rPr>
          <w:rFonts w:ascii="Arial" w:eastAsia="Times New Roman" w:hAnsi="Arial" w:cs="Arial"/>
          <w:color w:val="000000"/>
          <w:lang w:val="pt-BR" w:eastAsia="pt-BR"/>
        </w:rPr>
        <w:t>e dos demais documentos que o acompanham, manifesto aprovação do Estudo Técnico Preliminar e atesto sua conformidade de acordo com a Lei Federal nº 14.133, de 1º de abril de 2021.</w:t>
      </w: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 xml:space="preserve">Salete </w:t>
      </w:r>
      <w:proofErr w:type="spellStart"/>
      <w:r w:rsidRPr="00530D27">
        <w:rPr>
          <w:rFonts w:ascii="Arial" w:eastAsia="Times New Roman" w:hAnsi="Arial" w:cs="Arial"/>
          <w:color w:val="000000"/>
          <w:lang w:val="pt-BR" w:eastAsia="pt-BR"/>
        </w:rPr>
        <w:t>Ines</w:t>
      </w:r>
      <w:proofErr w:type="spellEnd"/>
      <w:r w:rsidRPr="00530D27">
        <w:rPr>
          <w:rFonts w:ascii="Arial" w:eastAsia="Times New Roman" w:hAnsi="Arial" w:cs="Arial"/>
          <w:color w:val="000000"/>
          <w:lang w:val="pt-BR" w:eastAsia="pt-BR"/>
        </w:rPr>
        <w:t xml:space="preserve"> </w:t>
      </w:r>
      <w:proofErr w:type="spellStart"/>
      <w:r w:rsidRPr="00530D27">
        <w:rPr>
          <w:rFonts w:ascii="Arial" w:eastAsia="Times New Roman" w:hAnsi="Arial" w:cs="Arial"/>
          <w:color w:val="000000"/>
          <w:lang w:val="pt-BR" w:eastAsia="pt-BR"/>
        </w:rPr>
        <w:t>Lecardelli</w:t>
      </w:r>
      <w:proofErr w:type="spellEnd"/>
    </w:p>
    <w:p w:rsidR="00530D27" w:rsidRPr="00530D27" w:rsidRDefault="00530D27" w:rsidP="00530D27">
      <w:pPr>
        <w:autoSpaceDE/>
        <w:autoSpaceDN/>
        <w:jc w:val="both"/>
        <w:rPr>
          <w:rFonts w:ascii="Arial" w:eastAsia="Times New Roman" w:hAnsi="Arial" w:cs="Arial"/>
          <w:color w:val="000000"/>
          <w:lang w:val="pt-BR" w:eastAsia="pt-BR"/>
        </w:rPr>
      </w:pPr>
      <w:r w:rsidRPr="00530D27">
        <w:rPr>
          <w:rFonts w:ascii="Arial" w:eastAsia="Times New Roman" w:hAnsi="Arial" w:cs="Arial"/>
          <w:color w:val="000000"/>
          <w:lang w:val="pt-BR" w:eastAsia="pt-BR"/>
        </w:rPr>
        <w:t>Secretária Municipal de Educação, Cultura e Esportes</w:t>
      </w:r>
    </w:p>
    <w:p w:rsidR="00530D27" w:rsidRDefault="00530D27"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6E5810" w:rsidRDefault="006E5810" w:rsidP="00931CDA">
      <w:pPr>
        <w:spacing w:line="276" w:lineRule="auto"/>
        <w:jc w:val="both"/>
        <w:rPr>
          <w:rFonts w:ascii="Verdana" w:hAnsi="Verdana" w:cs="Arial"/>
          <w:b/>
          <w:spacing w:val="2"/>
          <w:sz w:val="20"/>
          <w:szCs w:val="20"/>
        </w:rPr>
      </w:pPr>
    </w:p>
    <w:p w:rsidR="00E3283F" w:rsidRDefault="00E3283F" w:rsidP="00931CDA">
      <w:pPr>
        <w:spacing w:line="276" w:lineRule="auto"/>
        <w:jc w:val="both"/>
        <w:rPr>
          <w:rFonts w:ascii="Verdana" w:hAnsi="Verdana" w:cs="Arial"/>
          <w:b/>
          <w:spacing w:val="2"/>
          <w:sz w:val="20"/>
          <w:szCs w:val="20"/>
        </w:rPr>
      </w:pPr>
    </w:p>
    <w:p w:rsidR="00E3283F" w:rsidRDefault="00E3283F" w:rsidP="00931CDA">
      <w:pPr>
        <w:spacing w:line="276" w:lineRule="auto"/>
        <w:jc w:val="both"/>
        <w:rPr>
          <w:rFonts w:ascii="Verdana" w:hAnsi="Verdana" w:cs="Arial"/>
          <w:b/>
          <w:spacing w:val="2"/>
          <w:sz w:val="20"/>
          <w:szCs w:val="20"/>
        </w:rPr>
      </w:pPr>
    </w:p>
    <w:p w:rsidR="00E3283F" w:rsidRDefault="00E3283F" w:rsidP="00931CDA">
      <w:pPr>
        <w:spacing w:line="276" w:lineRule="auto"/>
        <w:jc w:val="both"/>
        <w:rPr>
          <w:rFonts w:ascii="Verdana" w:hAnsi="Verdana" w:cs="Arial"/>
          <w:b/>
          <w:spacing w:val="2"/>
          <w:sz w:val="20"/>
          <w:szCs w:val="20"/>
        </w:rPr>
      </w:pPr>
    </w:p>
    <w:p w:rsidR="00E3283F" w:rsidRDefault="00E3283F" w:rsidP="00931CDA">
      <w:pPr>
        <w:spacing w:line="276" w:lineRule="auto"/>
        <w:jc w:val="both"/>
        <w:rPr>
          <w:rFonts w:ascii="Verdana" w:hAnsi="Verdana" w:cs="Arial"/>
          <w:b/>
          <w:spacing w:val="2"/>
          <w:sz w:val="20"/>
          <w:szCs w:val="20"/>
        </w:rPr>
      </w:pPr>
    </w:p>
    <w:p w:rsidR="00E3283F" w:rsidRDefault="00E3283F" w:rsidP="00931CDA">
      <w:pPr>
        <w:spacing w:line="276" w:lineRule="auto"/>
        <w:jc w:val="both"/>
        <w:rPr>
          <w:rFonts w:ascii="Verdana" w:hAnsi="Verdana" w:cs="Arial"/>
          <w:b/>
          <w:spacing w:val="2"/>
          <w:sz w:val="20"/>
          <w:szCs w:val="20"/>
        </w:rPr>
      </w:pPr>
    </w:p>
    <w:p w:rsidR="00E3283F" w:rsidRDefault="00E3283F" w:rsidP="00931CDA">
      <w:pPr>
        <w:spacing w:line="276" w:lineRule="auto"/>
        <w:jc w:val="both"/>
        <w:rPr>
          <w:rFonts w:ascii="Verdana" w:hAnsi="Verdana" w:cs="Arial"/>
          <w:b/>
          <w:spacing w:val="2"/>
          <w:sz w:val="20"/>
          <w:szCs w:val="20"/>
        </w:rPr>
      </w:pPr>
    </w:p>
    <w:p w:rsidR="00E3283F" w:rsidRDefault="00E3283F" w:rsidP="00931CDA">
      <w:pPr>
        <w:spacing w:line="276" w:lineRule="auto"/>
        <w:jc w:val="both"/>
        <w:rPr>
          <w:rFonts w:ascii="Verdana" w:hAnsi="Verdana" w:cs="Arial"/>
          <w:b/>
          <w:spacing w:val="2"/>
          <w:sz w:val="20"/>
          <w:szCs w:val="20"/>
        </w:rPr>
      </w:pPr>
    </w:p>
    <w:p w:rsidR="00F42380" w:rsidRDefault="00F42380" w:rsidP="00931CDA">
      <w:pPr>
        <w:spacing w:line="276" w:lineRule="auto"/>
        <w:jc w:val="both"/>
        <w:rPr>
          <w:rFonts w:ascii="Verdana" w:hAnsi="Verdana" w:cs="Arial"/>
          <w:b/>
          <w:spacing w:val="2"/>
          <w:sz w:val="20"/>
          <w:szCs w:val="20"/>
        </w:rPr>
      </w:pPr>
    </w:p>
    <w:p w:rsidR="00E3283F" w:rsidRPr="00E3283F" w:rsidRDefault="00E3283F" w:rsidP="00E3283F">
      <w:pPr>
        <w:spacing w:line="276" w:lineRule="auto"/>
        <w:jc w:val="center"/>
        <w:rPr>
          <w:rFonts w:ascii="Verdana" w:hAnsi="Verdana"/>
          <w:b/>
          <w:sz w:val="20"/>
          <w:szCs w:val="20"/>
        </w:rPr>
      </w:pPr>
      <w:r w:rsidRPr="00E3283F">
        <w:rPr>
          <w:rFonts w:ascii="Verdana" w:hAnsi="Verdana"/>
          <w:b/>
          <w:sz w:val="20"/>
          <w:szCs w:val="20"/>
        </w:rPr>
        <w:lastRenderedPageBreak/>
        <w:t>DISPENSA ELETRÔNICA 19/2024</w:t>
      </w:r>
    </w:p>
    <w:p w:rsidR="00E3283F" w:rsidRPr="00B21957" w:rsidRDefault="00E3283F" w:rsidP="00E3283F">
      <w:pPr>
        <w:spacing w:line="276" w:lineRule="auto"/>
        <w:jc w:val="center"/>
        <w:rPr>
          <w:rFonts w:ascii="Verdana" w:hAnsi="Verdana"/>
          <w:b/>
          <w:sz w:val="20"/>
          <w:szCs w:val="20"/>
        </w:rPr>
      </w:pPr>
      <w:r w:rsidRPr="00E3283F">
        <w:rPr>
          <w:rFonts w:ascii="Verdana" w:hAnsi="Verdana"/>
          <w:b/>
          <w:sz w:val="20"/>
          <w:szCs w:val="20"/>
        </w:rPr>
        <w:t>PROCESSO DE LICITAÇÃO 172/2024</w:t>
      </w:r>
    </w:p>
    <w:p w:rsidR="00F42380" w:rsidRDefault="00F42380" w:rsidP="00F42380">
      <w:pPr>
        <w:spacing w:line="276" w:lineRule="auto"/>
        <w:jc w:val="center"/>
        <w:rPr>
          <w:rFonts w:ascii="Verdana" w:hAnsi="Verdana"/>
          <w:b/>
          <w:sz w:val="20"/>
          <w:szCs w:val="20"/>
        </w:rPr>
      </w:pPr>
    </w:p>
    <w:p w:rsidR="00F42380" w:rsidRDefault="00F42380" w:rsidP="007E0AF0">
      <w:pPr>
        <w:spacing w:line="276" w:lineRule="auto"/>
        <w:jc w:val="center"/>
        <w:rPr>
          <w:rFonts w:ascii="Verdana" w:hAnsi="Verdana"/>
          <w:b/>
          <w:sz w:val="20"/>
          <w:szCs w:val="20"/>
        </w:rPr>
      </w:pPr>
      <w:r>
        <w:rPr>
          <w:rFonts w:ascii="Verdana" w:hAnsi="Verdana"/>
          <w:b/>
          <w:sz w:val="20"/>
          <w:szCs w:val="20"/>
        </w:rPr>
        <w:t>ANEXO II</w:t>
      </w:r>
      <w:r w:rsidR="00530D27">
        <w:rPr>
          <w:rFonts w:ascii="Verdana" w:hAnsi="Verdana"/>
          <w:b/>
          <w:sz w:val="20"/>
          <w:szCs w:val="20"/>
        </w:rPr>
        <w:t>I</w:t>
      </w:r>
    </w:p>
    <w:p w:rsidR="007E0AF0" w:rsidRPr="006E5810" w:rsidRDefault="007E0AF0" w:rsidP="007E0AF0">
      <w:pPr>
        <w:spacing w:line="276" w:lineRule="auto"/>
        <w:rPr>
          <w:rFonts w:ascii="Arial" w:hAnsi="Arial" w:cs="Arial"/>
          <w:b/>
        </w:rPr>
      </w:pPr>
    </w:p>
    <w:p w:rsidR="007E0AF0" w:rsidRPr="006E5810" w:rsidRDefault="007E0AF0" w:rsidP="007E0AF0">
      <w:pPr>
        <w:jc w:val="center"/>
        <w:rPr>
          <w:rFonts w:ascii="Arial" w:hAnsi="Arial" w:cs="Arial"/>
          <w:b/>
        </w:rPr>
      </w:pPr>
      <w:r w:rsidRPr="006E5810">
        <w:rPr>
          <w:rFonts w:ascii="Arial" w:hAnsi="Arial" w:cs="Arial"/>
          <w:b/>
        </w:rPr>
        <w:t>TERMO DE REFERÊNCIA</w:t>
      </w:r>
    </w:p>
    <w:p w:rsidR="007E0AF0" w:rsidRPr="006E5810" w:rsidRDefault="007E0AF0" w:rsidP="007E0AF0">
      <w:pPr>
        <w:rPr>
          <w:rFonts w:ascii="Arial" w:hAnsi="Arial" w:cs="Arial"/>
          <w:b/>
          <w:color w:val="000000" w:themeColor="text1"/>
        </w:rPr>
      </w:pPr>
      <w:r w:rsidRPr="006E5810">
        <w:rPr>
          <w:rFonts w:ascii="Arial" w:hAnsi="Arial" w:cs="Arial"/>
          <w:b/>
          <w:color w:val="000000" w:themeColor="text1"/>
        </w:rPr>
        <w:t xml:space="preserve"> </w:t>
      </w:r>
    </w:p>
    <w:tbl>
      <w:tblPr>
        <w:tblW w:w="9315" w:type="dxa"/>
        <w:tblInd w:w="144" w:type="dxa"/>
        <w:tblLayout w:type="fixed"/>
        <w:tblLook w:val="04A0"/>
      </w:tblPr>
      <w:tblGrid>
        <w:gridCol w:w="9055"/>
        <w:gridCol w:w="260"/>
      </w:tblGrid>
      <w:tr w:rsidR="007E0AF0" w:rsidRPr="006E5810" w:rsidTr="007E0AF0">
        <w:tc>
          <w:tcPr>
            <w:tcW w:w="9315" w:type="dxa"/>
            <w:gridSpan w:val="2"/>
            <w:hideMark/>
          </w:tcPr>
          <w:p w:rsidR="007E0AF0" w:rsidRPr="006E5810" w:rsidRDefault="007E0AF0" w:rsidP="007E0AF0">
            <w:pPr>
              <w:spacing w:before="120" w:after="120"/>
              <w:rPr>
                <w:rFonts w:ascii="Arial" w:hAnsi="Arial" w:cs="Arial"/>
                <w:b/>
                <w:color w:val="000000" w:themeColor="text1"/>
              </w:rPr>
            </w:pPr>
            <w:r w:rsidRPr="006E5810">
              <w:rPr>
                <w:rFonts w:ascii="Arial" w:hAnsi="Arial" w:cs="Arial"/>
                <w:b/>
                <w:color w:val="000000" w:themeColor="text1"/>
              </w:rPr>
              <w:t>1. OBJETO</w:t>
            </w:r>
          </w:p>
          <w:p w:rsidR="007E0AF0" w:rsidRPr="006E5810" w:rsidRDefault="007E0AF0" w:rsidP="007E0AF0">
            <w:pPr>
              <w:spacing w:before="120" w:after="120"/>
              <w:rPr>
                <w:rFonts w:ascii="Arial" w:hAnsi="Arial" w:cs="Arial"/>
                <w:color w:val="000000" w:themeColor="text1"/>
              </w:rPr>
            </w:pPr>
            <w:r w:rsidRPr="006E5810">
              <w:rPr>
                <w:rFonts w:ascii="Arial" w:hAnsi="Arial" w:cs="Arial"/>
                <w:b/>
                <w:color w:val="000000" w:themeColor="text1"/>
              </w:rPr>
              <w:t xml:space="preserve">1.1 </w:t>
            </w:r>
            <w:r w:rsidRPr="006E5810">
              <w:rPr>
                <w:rFonts w:ascii="Arial" w:hAnsi="Arial" w:cs="Arial"/>
                <w:color w:val="000000" w:themeColor="text1"/>
              </w:rPr>
              <w:t>Aquisição de bens móveis para o Museu Comunitário.</w:t>
            </w:r>
          </w:p>
          <w:p w:rsidR="007E0AF0" w:rsidRPr="006E5810" w:rsidRDefault="007E0AF0" w:rsidP="007E0AF0">
            <w:pPr>
              <w:spacing w:before="120" w:after="120"/>
              <w:rPr>
                <w:rFonts w:ascii="Arial" w:hAnsi="Arial" w:cs="Arial"/>
                <w:color w:val="000000" w:themeColor="text1"/>
              </w:rPr>
            </w:pPr>
            <w:r w:rsidRPr="006E5810">
              <w:rPr>
                <w:rFonts w:ascii="Arial" w:hAnsi="Arial" w:cs="Arial"/>
                <w:color w:val="000000" w:themeColor="text1"/>
              </w:rPr>
              <w:t>1.2. A aquisição dos referidos bens se fazem necessário uma vez que o museu dispoe de pouco espaço para exposição das peças/objetos, necessitando de alguns  dos móveis para melhorar o aspecto da exposição das peças, fazendo com que haja uma melhor aproveitamento do espaço e melhores condições de exposição.</w:t>
            </w:r>
          </w:p>
        </w:tc>
      </w:tr>
      <w:tr w:rsidR="007E0AF0" w:rsidRPr="006E5810" w:rsidTr="007E0AF0">
        <w:tc>
          <w:tcPr>
            <w:tcW w:w="9055" w:type="dxa"/>
            <w:tcMar>
              <w:top w:w="0" w:type="dxa"/>
              <w:left w:w="0" w:type="dxa"/>
              <w:bottom w:w="0" w:type="dxa"/>
              <w:right w:w="0" w:type="dxa"/>
            </w:tcMar>
          </w:tcPr>
          <w:p w:rsidR="007E0AF0" w:rsidRPr="006E5810" w:rsidRDefault="007E0AF0" w:rsidP="007E0AF0">
            <w:pPr>
              <w:rPr>
                <w:rFonts w:ascii="Arial" w:hAnsi="Arial" w:cs="Arial"/>
                <w:color w:val="000000" w:themeColor="text1"/>
              </w:rPr>
            </w:pPr>
          </w:p>
        </w:tc>
        <w:tc>
          <w:tcPr>
            <w:tcW w:w="260" w:type="dxa"/>
            <w:tcMar>
              <w:top w:w="0" w:type="dxa"/>
              <w:left w:w="0" w:type="dxa"/>
              <w:bottom w:w="0" w:type="dxa"/>
              <w:right w:w="0" w:type="dxa"/>
            </w:tcMar>
          </w:tcPr>
          <w:p w:rsidR="007E0AF0" w:rsidRPr="006E5810" w:rsidRDefault="007E0AF0" w:rsidP="007E0AF0">
            <w:pPr>
              <w:snapToGrid w:val="0"/>
              <w:rPr>
                <w:rFonts w:ascii="Arial" w:hAnsi="Arial" w:cs="Arial"/>
                <w:color w:val="000000" w:themeColor="text1"/>
              </w:rPr>
            </w:pPr>
          </w:p>
        </w:tc>
      </w:tr>
      <w:tr w:rsidR="007E0AF0" w:rsidRPr="006E5810" w:rsidTr="007E0AF0">
        <w:tc>
          <w:tcPr>
            <w:tcW w:w="9315" w:type="dxa"/>
            <w:gridSpan w:val="2"/>
            <w:hideMark/>
          </w:tcPr>
          <w:p w:rsidR="007E0AF0" w:rsidRPr="006E5810" w:rsidRDefault="007E0AF0" w:rsidP="007E0AF0">
            <w:pPr>
              <w:spacing w:before="120" w:after="120"/>
              <w:rPr>
                <w:rFonts w:ascii="Arial" w:hAnsi="Arial" w:cs="Arial"/>
                <w:b/>
                <w:color w:val="000000" w:themeColor="text1"/>
              </w:rPr>
            </w:pPr>
            <w:r w:rsidRPr="006E5810">
              <w:rPr>
                <w:rFonts w:ascii="Arial" w:hAnsi="Arial" w:cs="Arial"/>
                <w:b/>
                <w:color w:val="000000" w:themeColor="text1"/>
              </w:rPr>
              <w:t>2. JUSTIFICATIVA</w:t>
            </w:r>
          </w:p>
        </w:tc>
      </w:tr>
      <w:tr w:rsidR="007E0AF0" w:rsidRPr="006E5810" w:rsidTr="007E0AF0">
        <w:tc>
          <w:tcPr>
            <w:tcW w:w="9055" w:type="dxa"/>
            <w:tcMar>
              <w:top w:w="0" w:type="dxa"/>
              <w:left w:w="0" w:type="dxa"/>
              <w:bottom w:w="0" w:type="dxa"/>
              <w:right w:w="0" w:type="dxa"/>
            </w:tcMar>
          </w:tcPr>
          <w:p w:rsidR="007E0AF0" w:rsidRPr="006E5810" w:rsidRDefault="007E0AF0" w:rsidP="007E0AF0">
            <w:pPr>
              <w:numPr>
                <w:ilvl w:val="1"/>
                <w:numId w:val="23"/>
              </w:numPr>
              <w:tabs>
                <w:tab w:val="left" w:pos="536"/>
                <w:tab w:val="left" w:pos="2270"/>
                <w:tab w:val="left" w:pos="4294"/>
              </w:tabs>
              <w:suppressAutoHyphens/>
              <w:autoSpaceDE/>
              <w:autoSpaceDN/>
              <w:jc w:val="both"/>
              <w:rPr>
                <w:rFonts w:ascii="Arial" w:hAnsi="Arial" w:cs="Arial"/>
                <w:color w:val="000000" w:themeColor="text1"/>
              </w:rPr>
            </w:pPr>
            <w:r w:rsidRPr="006E5810">
              <w:rPr>
                <w:rFonts w:ascii="Arial" w:hAnsi="Arial" w:cs="Arial"/>
                <w:color w:val="000000" w:themeColor="text1"/>
              </w:rPr>
              <w:t>Considerando que o município através da Secretaria Municipal de Educação, Cultura e Esportes mas tem o Museu Comunitário, estando este subordinado ao Departamento Municipal de Cultura, o qual conta com uma quantidade elevadas de peças/objetos expostos, além de apresentar um acervo de fotográfico;</w:t>
            </w:r>
          </w:p>
          <w:p w:rsidR="007E0AF0" w:rsidRPr="006E5810" w:rsidRDefault="007E0AF0" w:rsidP="007E0AF0">
            <w:pPr>
              <w:numPr>
                <w:ilvl w:val="1"/>
                <w:numId w:val="23"/>
              </w:numPr>
              <w:tabs>
                <w:tab w:val="left" w:pos="536"/>
                <w:tab w:val="left" w:pos="2270"/>
                <w:tab w:val="left" w:pos="4294"/>
              </w:tabs>
              <w:suppressAutoHyphens/>
              <w:autoSpaceDE/>
              <w:autoSpaceDN/>
              <w:jc w:val="both"/>
              <w:rPr>
                <w:rFonts w:ascii="Arial" w:hAnsi="Arial" w:cs="Arial"/>
                <w:color w:val="000000" w:themeColor="text1"/>
              </w:rPr>
            </w:pPr>
            <w:r w:rsidRPr="006E5810">
              <w:rPr>
                <w:rFonts w:ascii="Arial" w:hAnsi="Arial" w:cs="Arial"/>
                <w:color w:val="000000" w:themeColor="text1"/>
              </w:rPr>
              <w:t>Considerando que o espaço destinado ao museu não é amplo, o que faz com que haja necessidade de melhor otimizar todo os espaço aonde ficam expostas os(as) objetos/peças, muitos delas expostas sobre balcões, mesas, estantes e outros móveis;</w:t>
            </w:r>
          </w:p>
          <w:p w:rsidR="007E0AF0" w:rsidRPr="006E5810" w:rsidRDefault="007E0AF0" w:rsidP="007E0AF0">
            <w:pPr>
              <w:numPr>
                <w:ilvl w:val="1"/>
                <w:numId w:val="23"/>
              </w:numPr>
              <w:tabs>
                <w:tab w:val="left" w:pos="536"/>
                <w:tab w:val="left" w:pos="2270"/>
                <w:tab w:val="left" w:pos="4294"/>
              </w:tabs>
              <w:suppressAutoHyphens/>
              <w:autoSpaceDE/>
              <w:autoSpaceDN/>
              <w:jc w:val="both"/>
              <w:rPr>
                <w:rFonts w:ascii="Arial" w:hAnsi="Arial" w:cs="Arial"/>
                <w:color w:val="000000" w:themeColor="text1"/>
              </w:rPr>
            </w:pPr>
            <w:r w:rsidRPr="006E5810">
              <w:rPr>
                <w:rFonts w:ascii="Arial" w:hAnsi="Arial" w:cs="Arial"/>
                <w:color w:val="000000" w:themeColor="text1"/>
              </w:rPr>
              <w:t>Considerando que para o disponibilizar e melhor aproveitar o espaço, faz-se necessário a aquisição de novos bens móveis, dando um melhor aspecto e as melhores impressões aos visitantes, além de possibilitar melhor a distribuição e a exposição do seu acervo.</w:t>
            </w:r>
          </w:p>
          <w:p w:rsidR="007E0AF0" w:rsidRPr="006E5810" w:rsidRDefault="007E0AF0" w:rsidP="007E0AF0">
            <w:pPr>
              <w:numPr>
                <w:ilvl w:val="1"/>
                <w:numId w:val="23"/>
              </w:numPr>
              <w:tabs>
                <w:tab w:val="left" w:pos="536"/>
                <w:tab w:val="left" w:pos="2270"/>
                <w:tab w:val="left" w:pos="4294"/>
              </w:tabs>
              <w:suppressAutoHyphens/>
              <w:autoSpaceDE/>
              <w:autoSpaceDN/>
              <w:jc w:val="both"/>
              <w:rPr>
                <w:rFonts w:ascii="Arial" w:hAnsi="Arial" w:cs="Arial"/>
                <w:color w:val="000000" w:themeColor="text1"/>
              </w:rPr>
            </w:pPr>
            <w:r w:rsidRPr="006E5810">
              <w:rPr>
                <w:rFonts w:ascii="Arial" w:hAnsi="Arial" w:cs="Arial"/>
                <w:color w:val="000000" w:themeColor="text1"/>
              </w:rPr>
              <w:t>Considerando que o poder público tem a disposição através dos recursos da Política Nacional Aldir Blanc, a possibilidade de utilizar esses recursos nas áreas culturais, optou-se nesse momento em utilizar os recursos para aquisição de bens móveis para o museu comunitário.</w:t>
            </w:r>
          </w:p>
          <w:p w:rsidR="007E0AF0" w:rsidRPr="006E5810" w:rsidRDefault="007E0AF0" w:rsidP="007E0AF0">
            <w:pPr>
              <w:pStyle w:val="Corpodetexto22"/>
              <w:suppressAutoHyphens w:val="0"/>
              <w:spacing w:line="240" w:lineRule="auto"/>
              <w:jc w:val="both"/>
              <w:rPr>
                <w:rFonts w:ascii="Arial" w:hAnsi="Arial" w:cs="Arial"/>
                <w:color w:val="000000" w:themeColor="text1"/>
                <w:sz w:val="22"/>
                <w:szCs w:val="22"/>
              </w:rPr>
            </w:pPr>
          </w:p>
        </w:tc>
        <w:tc>
          <w:tcPr>
            <w:tcW w:w="260" w:type="dxa"/>
            <w:tcMar>
              <w:top w:w="0" w:type="dxa"/>
              <w:left w:w="0" w:type="dxa"/>
              <w:bottom w:w="0" w:type="dxa"/>
              <w:right w:w="0" w:type="dxa"/>
            </w:tcMar>
            <w:hideMark/>
          </w:tcPr>
          <w:p w:rsidR="007E0AF0" w:rsidRPr="006E5810" w:rsidRDefault="007E0AF0" w:rsidP="007E0AF0">
            <w:pPr>
              <w:snapToGrid w:val="0"/>
              <w:rPr>
                <w:rFonts w:ascii="Arial" w:hAnsi="Arial" w:cs="Arial"/>
                <w:color w:val="000000" w:themeColor="text1"/>
              </w:rPr>
            </w:pPr>
            <w:r w:rsidRPr="006E5810">
              <w:rPr>
                <w:rFonts w:ascii="Arial" w:hAnsi="Arial" w:cs="Arial"/>
                <w:color w:val="000000" w:themeColor="text1"/>
              </w:rPr>
              <w:t xml:space="preserve">  </w:t>
            </w:r>
          </w:p>
        </w:tc>
      </w:tr>
      <w:tr w:rsidR="007E0AF0" w:rsidRPr="006E5810" w:rsidTr="007E0AF0">
        <w:tc>
          <w:tcPr>
            <w:tcW w:w="9315" w:type="dxa"/>
            <w:gridSpan w:val="2"/>
            <w:hideMark/>
          </w:tcPr>
          <w:p w:rsidR="007E0AF0" w:rsidRPr="006E5810" w:rsidRDefault="007E0AF0" w:rsidP="007E0AF0">
            <w:pPr>
              <w:pStyle w:val="SemEspaamento"/>
              <w:jc w:val="both"/>
              <w:rPr>
                <w:rFonts w:ascii="Arial" w:hAnsi="Arial" w:cs="Arial"/>
                <w:color w:val="000000" w:themeColor="text1"/>
                <w:sz w:val="22"/>
                <w:szCs w:val="22"/>
                <w:lang w:eastAsia="en-US"/>
              </w:rPr>
            </w:pPr>
          </w:p>
        </w:tc>
      </w:tr>
      <w:tr w:rsidR="007E0AF0" w:rsidRPr="006E5810" w:rsidTr="007E0AF0">
        <w:tc>
          <w:tcPr>
            <w:tcW w:w="9315" w:type="dxa"/>
            <w:gridSpan w:val="2"/>
            <w:hideMark/>
          </w:tcPr>
          <w:p w:rsidR="007E0AF0" w:rsidRPr="006E5810" w:rsidRDefault="007E0AF0" w:rsidP="007E0AF0">
            <w:pPr>
              <w:spacing w:before="120" w:after="120"/>
              <w:rPr>
                <w:rFonts w:ascii="Arial" w:hAnsi="Arial" w:cs="Arial"/>
                <w:b/>
                <w:color w:val="000000" w:themeColor="text1"/>
              </w:rPr>
            </w:pPr>
            <w:r w:rsidRPr="006E5810">
              <w:rPr>
                <w:rFonts w:ascii="Arial" w:hAnsi="Arial" w:cs="Arial"/>
                <w:b/>
                <w:color w:val="000000" w:themeColor="text1"/>
              </w:rPr>
              <w:t xml:space="preserve">3. PRAZO DE ENTREGA E LOCAL </w:t>
            </w:r>
          </w:p>
        </w:tc>
      </w:tr>
      <w:tr w:rsidR="007E0AF0" w:rsidRPr="006E5810" w:rsidTr="007E0AF0">
        <w:tc>
          <w:tcPr>
            <w:tcW w:w="9055" w:type="dxa"/>
            <w:tcMar>
              <w:top w:w="0" w:type="dxa"/>
              <w:left w:w="0" w:type="dxa"/>
              <w:bottom w:w="0" w:type="dxa"/>
              <w:right w:w="0" w:type="dxa"/>
            </w:tcMar>
          </w:tcPr>
          <w:p w:rsidR="007E0AF0" w:rsidRPr="006E5810" w:rsidRDefault="007E0AF0" w:rsidP="007E0AF0">
            <w:pPr>
              <w:jc w:val="both"/>
              <w:rPr>
                <w:rFonts w:ascii="Arial" w:eastAsia="Calibri" w:hAnsi="Arial" w:cs="Arial"/>
                <w:color w:val="000000" w:themeColor="text1"/>
              </w:rPr>
            </w:pPr>
            <w:r w:rsidRPr="006E5810">
              <w:rPr>
                <w:rFonts w:ascii="Arial" w:hAnsi="Arial" w:cs="Arial"/>
                <w:color w:val="000000" w:themeColor="text1"/>
              </w:rPr>
              <w:t xml:space="preserve">3.1 </w:t>
            </w:r>
            <w:r w:rsidRPr="006E5810">
              <w:rPr>
                <w:rFonts w:ascii="Arial" w:eastAsia="Calibri" w:hAnsi="Arial" w:cs="Arial"/>
                <w:color w:val="000000" w:themeColor="text1"/>
              </w:rPr>
              <w:t>A licitante vencedora  nos respectivos item do certame deverão  entregar os móveis  até o dia 30 de novembro de 2024.</w:t>
            </w:r>
          </w:p>
          <w:p w:rsidR="007E0AF0" w:rsidRPr="006E5810" w:rsidRDefault="007E0AF0" w:rsidP="007E0AF0">
            <w:pPr>
              <w:rPr>
                <w:rFonts w:ascii="Arial" w:hAnsi="Arial" w:cs="Arial"/>
                <w:color w:val="000000" w:themeColor="text1"/>
              </w:rPr>
            </w:pPr>
            <w:r w:rsidRPr="006E5810">
              <w:rPr>
                <w:rFonts w:ascii="Arial" w:eastAsia="Calibri" w:hAnsi="Arial" w:cs="Arial"/>
                <w:color w:val="000000" w:themeColor="text1"/>
              </w:rPr>
              <w:t xml:space="preserve">3.2 Os bens móveis deverão ser entregues no Museu Comunitário,  sito a Rua Bento Gonçalves – nº 220 -   1º Andar -  Centro, na cidade de </w:t>
            </w:r>
            <w:r w:rsidRPr="006E5810">
              <w:rPr>
                <w:rFonts w:ascii="Arial" w:hAnsi="Arial" w:cs="Arial"/>
                <w:color w:val="000000" w:themeColor="text1"/>
              </w:rPr>
              <w:t xml:space="preserve"> Ipumirim.</w:t>
            </w:r>
          </w:p>
        </w:tc>
        <w:tc>
          <w:tcPr>
            <w:tcW w:w="260" w:type="dxa"/>
            <w:tcMar>
              <w:top w:w="0" w:type="dxa"/>
              <w:left w:w="0" w:type="dxa"/>
              <w:bottom w:w="0" w:type="dxa"/>
              <w:right w:w="0" w:type="dxa"/>
            </w:tcMar>
          </w:tcPr>
          <w:p w:rsidR="007E0AF0" w:rsidRPr="006E5810" w:rsidRDefault="007E0AF0" w:rsidP="007E0AF0">
            <w:pPr>
              <w:snapToGrid w:val="0"/>
              <w:rPr>
                <w:rFonts w:ascii="Arial" w:hAnsi="Arial" w:cs="Arial"/>
                <w:color w:val="000000" w:themeColor="text1"/>
              </w:rPr>
            </w:pPr>
          </w:p>
        </w:tc>
      </w:tr>
      <w:tr w:rsidR="007E0AF0" w:rsidRPr="006E5810" w:rsidTr="007E0AF0">
        <w:tc>
          <w:tcPr>
            <w:tcW w:w="9315" w:type="dxa"/>
            <w:gridSpan w:val="2"/>
            <w:hideMark/>
          </w:tcPr>
          <w:p w:rsidR="007E0AF0" w:rsidRPr="006E5810" w:rsidRDefault="007E0AF0" w:rsidP="007E0AF0">
            <w:pPr>
              <w:rPr>
                <w:rFonts w:ascii="Arial" w:eastAsiaTheme="minorHAnsi" w:hAnsi="Arial" w:cs="Arial"/>
              </w:rPr>
            </w:pPr>
          </w:p>
        </w:tc>
      </w:tr>
      <w:tr w:rsidR="007E0AF0" w:rsidRPr="006E5810" w:rsidTr="007E0AF0">
        <w:tc>
          <w:tcPr>
            <w:tcW w:w="9315" w:type="dxa"/>
            <w:gridSpan w:val="2"/>
            <w:hideMark/>
          </w:tcPr>
          <w:p w:rsidR="007E0AF0" w:rsidRPr="006E5810" w:rsidRDefault="007E0AF0" w:rsidP="007E0AF0">
            <w:pPr>
              <w:spacing w:before="120" w:after="120"/>
              <w:rPr>
                <w:rFonts w:ascii="Arial" w:hAnsi="Arial" w:cs="Arial"/>
                <w:b/>
              </w:rPr>
            </w:pPr>
          </w:p>
        </w:tc>
      </w:tr>
      <w:tr w:rsidR="007E0AF0" w:rsidRPr="006E5810" w:rsidTr="007E0AF0">
        <w:tc>
          <w:tcPr>
            <w:tcW w:w="9055" w:type="dxa"/>
            <w:tcMar>
              <w:top w:w="0" w:type="dxa"/>
              <w:left w:w="0" w:type="dxa"/>
              <w:bottom w:w="0" w:type="dxa"/>
              <w:right w:w="0" w:type="dxa"/>
            </w:tcMar>
            <w:hideMark/>
          </w:tcPr>
          <w:p w:rsidR="007E0AF0" w:rsidRPr="006E5810" w:rsidRDefault="007E0AF0" w:rsidP="007E0AF0">
            <w:pPr>
              <w:rPr>
                <w:rFonts w:ascii="Arial" w:hAnsi="Arial" w:cs="Arial"/>
                <w:color w:val="000000" w:themeColor="text1"/>
              </w:rPr>
            </w:pPr>
          </w:p>
        </w:tc>
        <w:tc>
          <w:tcPr>
            <w:tcW w:w="260" w:type="dxa"/>
            <w:tcMar>
              <w:top w:w="0" w:type="dxa"/>
              <w:left w:w="0" w:type="dxa"/>
              <w:bottom w:w="0" w:type="dxa"/>
              <w:right w:w="0" w:type="dxa"/>
            </w:tcMar>
          </w:tcPr>
          <w:p w:rsidR="007E0AF0" w:rsidRPr="006E5810" w:rsidRDefault="007E0AF0" w:rsidP="007E0AF0">
            <w:pPr>
              <w:snapToGrid w:val="0"/>
              <w:rPr>
                <w:rFonts w:ascii="Arial" w:hAnsi="Arial" w:cs="Arial"/>
                <w:color w:val="000000" w:themeColor="text1"/>
              </w:rPr>
            </w:pPr>
          </w:p>
        </w:tc>
      </w:tr>
      <w:tr w:rsidR="007E0AF0" w:rsidRPr="006E5810" w:rsidTr="007E0AF0">
        <w:tc>
          <w:tcPr>
            <w:tcW w:w="9315" w:type="dxa"/>
            <w:gridSpan w:val="2"/>
          </w:tcPr>
          <w:p w:rsidR="007E0AF0" w:rsidRPr="006E5810" w:rsidRDefault="007E0AF0" w:rsidP="007E0AF0">
            <w:pPr>
              <w:tabs>
                <w:tab w:val="left" w:pos="708"/>
              </w:tabs>
              <w:rPr>
                <w:rFonts w:ascii="Arial" w:hAnsi="Arial" w:cs="Arial"/>
                <w:b/>
              </w:rPr>
            </w:pPr>
            <w:r w:rsidRPr="006E5810">
              <w:rPr>
                <w:rFonts w:ascii="Arial" w:hAnsi="Arial" w:cs="Arial"/>
                <w:b/>
              </w:rPr>
              <w:t>4</w:t>
            </w:r>
            <w:r w:rsidR="006E5810" w:rsidRPr="006E5810">
              <w:rPr>
                <w:rFonts w:ascii="Arial" w:hAnsi="Arial" w:cs="Arial"/>
                <w:b/>
              </w:rPr>
              <w:t>.</w:t>
            </w:r>
            <w:r w:rsidRPr="006E5810">
              <w:rPr>
                <w:rFonts w:ascii="Arial" w:hAnsi="Arial" w:cs="Arial"/>
                <w:b/>
              </w:rPr>
              <w:t xml:space="preserve"> DOS BENS MÓVEIS/ EQUIPAMENTOS A SEREM DISPONIBILIZADOS:</w:t>
            </w:r>
          </w:p>
          <w:p w:rsidR="007E0AF0" w:rsidRPr="006E5810" w:rsidRDefault="007E0AF0" w:rsidP="007E0AF0">
            <w:pPr>
              <w:tabs>
                <w:tab w:val="left" w:pos="708"/>
              </w:tabs>
              <w:jc w:val="both"/>
              <w:rPr>
                <w:rFonts w:ascii="Arial" w:hAnsi="Arial" w:cs="Arial"/>
              </w:rPr>
            </w:pPr>
            <w:r w:rsidRPr="006E5810">
              <w:rPr>
                <w:rFonts w:ascii="Arial" w:hAnsi="Arial" w:cs="Arial"/>
              </w:rPr>
              <w:t>4.1. O Presente Termo de Referência tem como objeto a aquisição dos seguintes bens móveis/equipamentos:</w:t>
            </w:r>
          </w:p>
        </w:tc>
      </w:tr>
      <w:tr w:rsidR="007E0AF0" w:rsidRPr="006E5810" w:rsidTr="007E0AF0">
        <w:tc>
          <w:tcPr>
            <w:tcW w:w="9055" w:type="dxa"/>
            <w:tcMar>
              <w:top w:w="0" w:type="dxa"/>
              <w:left w:w="0" w:type="dxa"/>
              <w:bottom w:w="0" w:type="dxa"/>
              <w:right w:w="0" w:type="dxa"/>
            </w:tcMar>
          </w:tcPr>
          <w:p w:rsidR="007E0AF0" w:rsidRPr="006E5810" w:rsidRDefault="007E0AF0" w:rsidP="007E0AF0">
            <w:pPr>
              <w:shd w:val="clear" w:color="auto" w:fill="FFFFFF"/>
              <w:rPr>
                <w:rFonts w:ascii="Arial" w:hAnsi="Arial" w:cs="Arial"/>
              </w:rPr>
            </w:pPr>
          </w:p>
          <w:tbl>
            <w:tblPr>
              <w:tblStyle w:val="Tabelacomgrade"/>
              <w:tblW w:w="0" w:type="auto"/>
              <w:tblLayout w:type="fixed"/>
              <w:tblLook w:val="04A0"/>
            </w:tblPr>
            <w:tblGrid>
              <w:gridCol w:w="810"/>
              <w:gridCol w:w="3827"/>
              <w:gridCol w:w="1134"/>
              <w:gridCol w:w="992"/>
              <w:gridCol w:w="1134"/>
              <w:gridCol w:w="1143"/>
            </w:tblGrid>
            <w:tr w:rsidR="007E0AF0" w:rsidRPr="006E5810" w:rsidTr="007E0AF0">
              <w:tc>
                <w:tcPr>
                  <w:tcW w:w="810" w:type="dxa"/>
                </w:tcPr>
                <w:p w:rsidR="007E0AF0" w:rsidRPr="006E5810" w:rsidRDefault="007E0AF0" w:rsidP="007E0AF0">
                  <w:pPr>
                    <w:jc w:val="center"/>
                    <w:rPr>
                      <w:rFonts w:ascii="Arial" w:hAnsi="Arial" w:cs="Arial"/>
                      <w:lang w:eastAsia="en-US"/>
                    </w:rPr>
                  </w:pPr>
                  <w:r w:rsidRPr="006E5810">
                    <w:rPr>
                      <w:rFonts w:ascii="Arial" w:hAnsi="Arial" w:cs="Arial"/>
                      <w:lang w:eastAsia="en-US"/>
                    </w:rPr>
                    <w:t>ITEM</w:t>
                  </w:r>
                </w:p>
              </w:tc>
              <w:tc>
                <w:tcPr>
                  <w:tcW w:w="3827" w:type="dxa"/>
                </w:tcPr>
                <w:p w:rsidR="007E0AF0" w:rsidRPr="006E5810" w:rsidRDefault="007E0AF0" w:rsidP="007E0AF0">
                  <w:pPr>
                    <w:jc w:val="center"/>
                    <w:rPr>
                      <w:rFonts w:ascii="Arial" w:hAnsi="Arial" w:cs="Arial"/>
                      <w:lang w:eastAsia="en-US"/>
                    </w:rPr>
                  </w:pPr>
                  <w:r w:rsidRPr="006E5810">
                    <w:rPr>
                      <w:rFonts w:ascii="Arial" w:hAnsi="Arial" w:cs="Arial"/>
                      <w:lang w:eastAsia="en-US"/>
                    </w:rPr>
                    <w:t>BEM MÓVEL</w:t>
                  </w:r>
                </w:p>
              </w:tc>
              <w:tc>
                <w:tcPr>
                  <w:tcW w:w="1134" w:type="dxa"/>
                </w:tcPr>
                <w:p w:rsidR="007E0AF0" w:rsidRPr="006E5810" w:rsidRDefault="007E0AF0" w:rsidP="007E0AF0">
                  <w:pPr>
                    <w:jc w:val="center"/>
                    <w:rPr>
                      <w:rFonts w:ascii="Arial" w:hAnsi="Arial" w:cs="Arial"/>
                      <w:lang w:eastAsia="en-US"/>
                    </w:rPr>
                  </w:pPr>
                  <w:r w:rsidRPr="006E5810">
                    <w:rPr>
                      <w:rFonts w:ascii="Arial" w:hAnsi="Arial" w:cs="Arial"/>
                      <w:lang w:eastAsia="en-US"/>
                    </w:rPr>
                    <w:t>UND</w:t>
                  </w:r>
                </w:p>
              </w:tc>
              <w:tc>
                <w:tcPr>
                  <w:tcW w:w="992" w:type="dxa"/>
                </w:tcPr>
                <w:p w:rsidR="007E0AF0" w:rsidRPr="006E5810" w:rsidRDefault="007E0AF0" w:rsidP="007E0AF0">
                  <w:pPr>
                    <w:rPr>
                      <w:rFonts w:ascii="Arial" w:hAnsi="Arial" w:cs="Arial"/>
                      <w:lang w:eastAsia="en-US"/>
                    </w:rPr>
                  </w:pPr>
                  <w:r w:rsidRPr="006E5810">
                    <w:rPr>
                      <w:rFonts w:ascii="Arial" w:hAnsi="Arial" w:cs="Arial"/>
                      <w:lang w:eastAsia="en-US"/>
                    </w:rPr>
                    <w:t>QUANT</w:t>
                  </w:r>
                </w:p>
              </w:tc>
              <w:tc>
                <w:tcPr>
                  <w:tcW w:w="1134" w:type="dxa"/>
                </w:tcPr>
                <w:p w:rsidR="007E0AF0" w:rsidRPr="006E5810" w:rsidRDefault="007E0AF0" w:rsidP="007E0AF0">
                  <w:pPr>
                    <w:rPr>
                      <w:rFonts w:ascii="Arial" w:hAnsi="Arial" w:cs="Arial"/>
                      <w:lang w:eastAsia="en-US"/>
                    </w:rPr>
                  </w:pPr>
                  <w:r w:rsidRPr="006E5810">
                    <w:rPr>
                      <w:rFonts w:ascii="Arial" w:hAnsi="Arial" w:cs="Arial"/>
                      <w:lang w:eastAsia="en-US"/>
                    </w:rPr>
                    <w:t>V. UNIT.</w:t>
                  </w:r>
                </w:p>
              </w:tc>
              <w:tc>
                <w:tcPr>
                  <w:tcW w:w="1143" w:type="dxa"/>
                </w:tcPr>
                <w:p w:rsidR="007E0AF0" w:rsidRPr="006E5810" w:rsidRDefault="007E0AF0" w:rsidP="007E0AF0">
                  <w:pPr>
                    <w:rPr>
                      <w:rFonts w:ascii="Arial" w:hAnsi="Arial" w:cs="Arial"/>
                      <w:lang w:eastAsia="en-US"/>
                    </w:rPr>
                  </w:pPr>
                  <w:r w:rsidRPr="006E5810">
                    <w:rPr>
                      <w:rFonts w:ascii="Arial" w:hAnsi="Arial" w:cs="Arial"/>
                      <w:lang w:eastAsia="en-US"/>
                    </w:rPr>
                    <w:t>TOTAL</w:t>
                  </w:r>
                </w:p>
              </w:tc>
            </w:tr>
            <w:tr w:rsidR="007E0AF0" w:rsidRPr="006E5810" w:rsidTr="007E0AF0">
              <w:tc>
                <w:tcPr>
                  <w:tcW w:w="810" w:type="dxa"/>
                </w:tcPr>
                <w:p w:rsidR="007E0AF0" w:rsidRPr="006E5810" w:rsidRDefault="007E0AF0" w:rsidP="007E0AF0">
                  <w:pPr>
                    <w:rPr>
                      <w:rFonts w:ascii="Arial" w:hAnsi="Arial" w:cs="Arial"/>
                      <w:lang w:eastAsia="en-US"/>
                    </w:rPr>
                  </w:pPr>
                  <w:r w:rsidRPr="006E5810">
                    <w:rPr>
                      <w:rFonts w:ascii="Arial" w:hAnsi="Arial" w:cs="Arial"/>
                      <w:lang w:eastAsia="en-US"/>
                    </w:rPr>
                    <w:t>1</w:t>
                  </w:r>
                </w:p>
              </w:tc>
              <w:tc>
                <w:tcPr>
                  <w:tcW w:w="3827" w:type="dxa"/>
                </w:tcPr>
                <w:p w:rsidR="007E0AF0" w:rsidRPr="006E5810" w:rsidRDefault="007E0AF0" w:rsidP="007E0AF0">
                  <w:pPr>
                    <w:rPr>
                      <w:rFonts w:ascii="Arial" w:hAnsi="Arial" w:cs="Arial"/>
                      <w:lang w:eastAsia="en-US"/>
                    </w:rPr>
                  </w:pPr>
                  <w:r w:rsidRPr="006E5810">
                    <w:rPr>
                      <w:rFonts w:ascii="Arial" w:hAnsi="Arial" w:cs="Arial"/>
                      <w:color w:val="000000" w:themeColor="text1"/>
                    </w:rPr>
                    <w:t>Mesa em MDF, com comprimento de 1.00 Mt, e largura de 0.60Cm, na cor marrom ou amadeirada e com pés em forma de cantoneira.</w:t>
                  </w:r>
                </w:p>
              </w:tc>
              <w:tc>
                <w:tcPr>
                  <w:tcW w:w="1134"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Mesa</w:t>
                  </w:r>
                </w:p>
              </w:tc>
              <w:tc>
                <w:tcPr>
                  <w:tcW w:w="992"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7</w:t>
                  </w:r>
                </w:p>
              </w:tc>
              <w:tc>
                <w:tcPr>
                  <w:tcW w:w="1134"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480,00</w:t>
                  </w:r>
                </w:p>
              </w:tc>
              <w:tc>
                <w:tcPr>
                  <w:tcW w:w="1143"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3.360,00</w:t>
                  </w:r>
                </w:p>
              </w:tc>
            </w:tr>
            <w:tr w:rsidR="007E0AF0" w:rsidRPr="006E5810" w:rsidTr="007E0AF0">
              <w:tc>
                <w:tcPr>
                  <w:tcW w:w="810" w:type="dxa"/>
                </w:tcPr>
                <w:p w:rsidR="007E0AF0" w:rsidRPr="006E5810" w:rsidRDefault="007E0AF0" w:rsidP="007E0AF0">
                  <w:pPr>
                    <w:rPr>
                      <w:rFonts w:ascii="Arial" w:hAnsi="Arial" w:cs="Arial"/>
                      <w:lang w:eastAsia="en-US"/>
                    </w:rPr>
                  </w:pPr>
                  <w:r w:rsidRPr="006E5810">
                    <w:rPr>
                      <w:rFonts w:ascii="Arial" w:hAnsi="Arial" w:cs="Arial"/>
                      <w:lang w:eastAsia="en-US"/>
                    </w:rPr>
                    <w:t>2</w:t>
                  </w:r>
                </w:p>
              </w:tc>
              <w:tc>
                <w:tcPr>
                  <w:tcW w:w="3827" w:type="dxa"/>
                </w:tcPr>
                <w:p w:rsidR="007E0AF0" w:rsidRPr="006E5810" w:rsidRDefault="007E0AF0" w:rsidP="007E0AF0">
                  <w:pPr>
                    <w:rPr>
                      <w:rFonts w:ascii="Arial" w:hAnsi="Arial" w:cs="Arial"/>
                      <w:lang w:eastAsia="en-US"/>
                    </w:rPr>
                  </w:pPr>
                  <w:r w:rsidRPr="006E5810">
                    <w:rPr>
                      <w:rFonts w:ascii="Arial" w:hAnsi="Arial" w:cs="Arial"/>
                      <w:color w:val="000000" w:themeColor="text1"/>
                    </w:rPr>
                    <w:t xml:space="preserve">Roupeiro em MDP, com 3 portas e 2 Gavetas e 6 prateleiras, 1 cabideiro. </w:t>
                  </w:r>
                  <w:r w:rsidRPr="006E5810">
                    <w:rPr>
                      <w:rFonts w:ascii="Arial" w:hAnsi="Arial" w:cs="Arial"/>
                      <w:color w:val="000000" w:themeColor="text1"/>
                    </w:rPr>
                    <w:lastRenderedPageBreak/>
                    <w:t>Com altura de 1.80, com largura de 0.80 Cm e profundidade de 0.46 Cm, na cor amêndoa</w:t>
                  </w:r>
                </w:p>
              </w:tc>
              <w:tc>
                <w:tcPr>
                  <w:tcW w:w="1134" w:type="dxa"/>
                </w:tcPr>
                <w:p w:rsidR="007E0AF0" w:rsidRPr="006E5810" w:rsidRDefault="007E0AF0" w:rsidP="007E0AF0">
                  <w:pPr>
                    <w:jc w:val="center"/>
                    <w:rPr>
                      <w:rFonts w:ascii="Arial" w:hAnsi="Arial" w:cs="Arial"/>
                      <w:lang w:eastAsia="en-US"/>
                    </w:rPr>
                  </w:pPr>
                  <w:r w:rsidRPr="006E5810">
                    <w:rPr>
                      <w:rFonts w:ascii="Arial" w:hAnsi="Arial" w:cs="Arial"/>
                      <w:lang w:eastAsia="en-US"/>
                    </w:rPr>
                    <w:lastRenderedPageBreak/>
                    <w:t>Roupeiro</w:t>
                  </w:r>
                </w:p>
              </w:tc>
              <w:tc>
                <w:tcPr>
                  <w:tcW w:w="992" w:type="dxa"/>
                </w:tcPr>
                <w:p w:rsidR="007E0AF0" w:rsidRPr="006E5810" w:rsidRDefault="007E0AF0" w:rsidP="007E0AF0">
                  <w:pPr>
                    <w:jc w:val="center"/>
                    <w:rPr>
                      <w:rFonts w:ascii="Arial" w:hAnsi="Arial" w:cs="Arial"/>
                      <w:lang w:eastAsia="en-US"/>
                    </w:rPr>
                  </w:pPr>
                  <w:r w:rsidRPr="006E5810">
                    <w:rPr>
                      <w:rFonts w:ascii="Arial" w:hAnsi="Arial" w:cs="Arial"/>
                      <w:lang w:eastAsia="en-US"/>
                    </w:rPr>
                    <w:t>2</w:t>
                  </w:r>
                </w:p>
              </w:tc>
              <w:tc>
                <w:tcPr>
                  <w:tcW w:w="1134" w:type="dxa"/>
                </w:tcPr>
                <w:p w:rsidR="007E0AF0" w:rsidRPr="006E5810" w:rsidRDefault="007E0AF0" w:rsidP="007E0AF0">
                  <w:pPr>
                    <w:jc w:val="center"/>
                    <w:rPr>
                      <w:rFonts w:ascii="Arial" w:hAnsi="Arial" w:cs="Arial"/>
                      <w:lang w:eastAsia="en-US"/>
                    </w:rPr>
                  </w:pPr>
                  <w:r w:rsidRPr="006E5810">
                    <w:rPr>
                      <w:rFonts w:ascii="Arial" w:hAnsi="Arial" w:cs="Arial"/>
                      <w:lang w:eastAsia="en-US"/>
                    </w:rPr>
                    <w:t>529,00</w:t>
                  </w:r>
                </w:p>
              </w:tc>
              <w:tc>
                <w:tcPr>
                  <w:tcW w:w="1143" w:type="dxa"/>
                </w:tcPr>
                <w:p w:rsidR="007E0AF0" w:rsidRPr="006E5810" w:rsidRDefault="007E0AF0" w:rsidP="007E0AF0">
                  <w:pPr>
                    <w:jc w:val="center"/>
                    <w:rPr>
                      <w:rFonts w:ascii="Arial" w:hAnsi="Arial" w:cs="Arial"/>
                      <w:lang w:eastAsia="en-US"/>
                    </w:rPr>
                  </w:pPr>
                  <w:r w:rsidRPr="006E5810">
                    <w:rPr>
                      <w:rFonts w:ascii="Arial" w:hAnsi="Arial" w:cs="Arial"/>
                      <w:lang w:eastAsia="en-US"/>
                    </w:rPr>
                    <w:t>1,058,00</w:t>
                  </w:r>
                </w:p>
              </w:tc>
            </w:tr>
            <w:tr w:rsidR="007E0AF0" w:rsidRPr="006E5810" w:rsidTr="007E0AF0">
              <w:tc>
                <w:tcPr>
                  <w:tcW w:w="810" w:type="dxa"/>
                </w:tcPr>
                <w:p w:rsidR="007E0AF0" w:rsidRPr="006E5810" w:rsidRDefault="007E0AF0" w:rsidP="007E0AF0">
                  <w:pPr>
                    <w:rPr>
                      <w:rFonts w:ascii="Arial" w:hAnsi="Arial" w:cs="Arial"/>
                      <w:lang w:eastAsia="en-US"/>
                    </w:rPr>
                  </w:pPr>
                </w:p>
                <w:p w:rsidR="007E0AF0" w:rsidRPr="006E5810" w:rsidRDefault="007E0AF0" w:rsidP="007E0AF0">
                  <w:pPr>
                    <w:rPr>
                      <w:rFonts w:ascii="Arial" w:hAnsi="Arial" w:cs="Arial"/>
                      <w:lang w:eastAsia="en-US"/>
                    </w:rPr>
                  </w:pPr>
                </w:p>
                <w:p w:rsidR="007E0AF0" w:rsidRPr="006E5810" w:rsidRDefault="007E0AF0" w:rsidP="007E0AF0">
                  <w:pPr>
                    <w:rPr>
                      <w:rFonts w:ascii="Arial" w:hAnsi="Arial" w:cs="Arial"/>
                      <w:lang w:eastAsia="en-US"/>
                    </w:rPr>
                  </w:pPr>
                  <w:r w:rsidRPr="006E5810">
                    <w:rPr>
                      <w:rFonts w:ascii="Arial" w:hAnsi="Arial" w:cs="Arial"/>
                      <w:lang w:eastAsia="en-US"/>
                    </w:rPr>
                    <w:t>3</w:t>
                  </w:r>
                </w:p>
              </w:tc>
              <w:tc>
                <w:tcPr>
                  <w:tcW w:w="3827" w:type="dxa"/>
                </w:tcPr>
                <w:p w:rsidR="007E0AF0" w:rsidRPr="006E5810" w:rsidRDefault="007E0AF0" w:rsidP="007E0AF0">
                  <w:pPr>
                    <w:rPr>
                      <w:rFonts w:ascii="Arial" w:hAnsi="Arial" w:cs="Arial"/>
                      <w:lang w:eastAsia="en-US"/>
                    </w:rPr>
                  </w:pPr>
                  <w:r w:rsidRPr="006E5810">
                    <w:rPr>
                      <w:rFonts w:ascii="Arial" w:hAnsi="Arial" w:cs="Arial"/>
                      <w:color w:val="000000" w:themeColor="text1"/>
                    </w:rPr>
                    <w:t>Estante – Livreiro rústico em madeira de pinus, na cor marrom. Com altura de 2.00 Mts e comprimento de 0.74 Cm e profundidade de 0.35 Cm, fechada no fundo e com 4 prateleiras.</w:t>
                  </w:r>
                </w:p>
              </w:tc>
              <w:tc>
                <w:tcPr>
                  <w:tcW w:w="1134"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Estante</w:t>
                  </w:r>
                </w:p>
              </w:tc>
              <w:tc>
                <w:tcPr>
                  <w:tcW w:w="992"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3</w:t>
                  </w:r>
                </w:p>
              </w:tc>
              <w:tc>
                <w:tcPr>
                  <w:tcW w:w="1134"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549,00</w:t>
                  </w:r>
                </w:p>
              </w:tc>
              <w:tc>
                <w:tcPr>
                  <w:tcW w:w="1143"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1.647,00</w:t>
                  </w:r>
                </w:p>
              </w:tc>
            </w:tr>
            <w:tr w:rsidR="007E0AF0" w:rsidRPr="006E5810" w:rsidTr="007E0AF0">
              <w:tc>
                <w:tcPr>
                  <w:tcW w:w="810" w:type="dxa"/>
                </w:tcPr>
                <w:p w:rsidR="007E0AF0" w:rsidRPr="006E5810" w:rsidRDefault="007E0AF0" w:rsidP="007E0AF0">
                  <w:pPr>
                    <w:rPr>
                      <w:rFonts w:ascii="Arial" w:hAnsi="Arial" w:cs="Arial"/>
                      <w:lang w:eastAsia="en-US"/>
                    </w:rPr>
                  </w:pPr>
                  <w:r w:rsidRPr="006E5810">
                    <w:rPr>
                      <w:rFonts w:ascii="Arial" w:hAnsi="Arial" w:cs="Arial"/>
                      <w:lang w:eastAsia="en-US"/>
                    </w:rPr>
                    <w:t>4</w:t>
                  </w:r>
                </w:p>
              </w:tc>
              <w:tc>
                <w:tcPr>
                  <w:tcW w:w="3827" w:type="dxa"/>
                </w:tcPr>
                <w:p w:rsidR="007E0AF0" w:rsidRPr="006E5810" w:rsidRDefault="007E0AF0" w:rsidP="007E0AF0">
                  <w:pPr>
                    <w:rPr>
                      <w:rFonts w:ascii="Arial" w:hAnsi="Arial" w:cs="Arial"/>
                      <w:lang w:eastAsia="en-US"/>
                    </w:rPr>
                  </w:pPr>
                  <w:r w:rsidRPr="006E5810">
                    <w:rPr>
                      <w:rFonts w:ascii="Arial" w:hAnsi="Arial" w:cs="Arial"/>
                      <w:color w:val="000000" w:themeColor="text1"/>
                    </w:rPr>
                    <w:t>Estante – Livreiro rústico em MDP, na marrom. Com altura de 1.78 Mts e largura de  0.50 Cm e profundidade de 0.35 Cm, com 4 prateleiras.</w:t>
                  </w:r>
                </w:p>
              </w:tc>
              <w:tc>
                <w:tcPr>
                  <w:tcW w:w="1134"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Estante</w:t>
                  </w:r>
                </w:p>
              </w:tc>
              <w:tc>
                <w:tcPr>
                  <w:tcW w:w="992"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3</w:t>
                  </w:r>
                </w:p>
              </w:tc>
              <w:tc>
                <w:tcPr>
                  <w:tcW w:w="1134"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259,00</w:t>
                  </w:r>
                </w:p>
              </w:tc>
              <w:tc>
                <w:tcPr>
                  <w:tcW w:w="1143" w:type="dxa"/>
                </w:tcPr>
                <w:p w:rsidR="007E0AF0" w:rsidRPr="006E5810" w:rsidRDefault="007E0AF0" w:rsidP="007E0AF0">
                  <w:pPr>
                    <w:jc w:val="center"/>
                    <w:rPr>
                      <w:rFonts w:ascii="Arial" w:hAnsi="Arial" w:cs="Arial"/>
                      <w:lang w:eastAsia="en-US"/>
                    </w:rPr>
                  </w:pPr>
                </w:p>
                <w:p w:rsidR="007E0AF0" w:rsidRPr="006E5810" w:rsidRDefault="007E0AF0" w:rsidP="007E0AF0">
                  <w:pPr>
                    <w:jc w:val="center"/>
                    <w:rPr>
                      <w:rFonts w:ascii="Arial" w:hAnsi="Arial" w:cs="Arial"/>
                      <w:lang w:eastAsia="en-US"/>
                    </w:rPr>
                  </w:pPr>
                  <w:r w:rsidRPr="006E5810">
                    <w:rPr>
                      <w:rFonts w:ascii="Arial" w:hAnsi="Arial" w:cs="Arial"/>
                      <w:lang w:eastAsia="en-US"/>
                    </w:rPr>
                    <w:t>777,00</w:t>
                  </w:r>
                </w:p>
              </w:tc>
            </w:tr>
          </w:tbl>
          <w:p w:rsidR="007E0AF0" w:rsidRPr="006E5810" w:rsidRDefault="007E0AF0" w:rsidP="007E0AF0">
            <w:pPr>
              <w:contextualSpacing/>
              <w:rPr>
                <w:rFonts w:ascii="Arial" w:hAnsi="Arial" w:cs="Arial"/>
                <w:color w:val="000000" w:themeColor="text1"/>
              </w:rPr>
            </w:pPr>
          </w:p>
          <w:p w:rsidR="007E0AF0" w:rsidRPr="006E5810" w:rsidRDefault="007E0AF0" w:rsidP="007E0AF0">
            <w:pPr>
              <w:rPr>
                <w:rFonts w:ascii="Arial" w:hAnsi="Arial" w:cs="Arial"/>
                <w:b/>
                <w:color w:val="000000" w:themeColor="text1"/>
              </w:rPr>
            </w:pPr>
            <w:r w:rsidRPr="006E5810">
              <w:rPr>
                <w:rFonts w:ascii="Arial" w:hAnsi="Arial" w:cs="Arial"/>
                <w:b/>
                <w:color w:val="000000" w:themeColor="text1"/>
              </w:rPr>
              <w:t>5</w:t>
            </w:r>
            <w:r w:rsidR="006E5810" w:rsidRPr="006E5810">
              <w:rPr>
                <w:rFonts w:ascii="Arial" w:hAnsi="Arial" w:cs="Arial"/>
                <w:b/>
                <w:color w:val="000000" w:themeColor="text1"/>
              </w:rPr>
              <w:t>.</w:t>
            </w:r>
            <w:r w:rsidRPr="006E5810">
              <w:rPr>
                <w:rFonts w:ascii="Arial" w:hAnsi="Arial" w:cs="Arial"/>
                <w:b/>
                <w:color w:val="000000" w:themeColor="text1"/>
              </w:rPr>
              <w:t xml:space="preserve"> DO CONTROLE E FISCALIZAÇÃO DA EXECUÇÃO</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w w:val="107"/>
              </w:rPr>
              <w:t xml:space="preserve">5.1 A fiscalização da contratação será exercida por um representante da Secretaria, ao qual </w:t>
            </w:r>
            <w:r w:rsidRPr="006E5810">
              <w:rPr>
                <w:rFonts w:ascii="Arial" w:hAnsi="Arial" w:cs="Arial"/>
                <w:color w:val="000000"/>
                <w:w w:val="102"/>
              </w:rPr>
              <w:t xml:space="preserve">competirá dirimir as dúvidas que surgirem no curso da execução do contrato, e de tudo dará ciência à </w:t>
            </w:r>
            <w:r w:rsidRPr="006E5810">
              <w:rPr>
                <w:rFonts w:ascii="Arial" w:hAnsi="Arial" w:cs="Arial"/>
                <w:color w:val="000000"/>
                <w:spacing w:val="2"/>
              </w:rPr>
              <w:t>Administração.</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w w:val="107"/>
              </w:rPr>
              <w:t xml:space="preserve">5.2 O representante da Contratante deverá ter a experiência necessária para o </w:t>
            </w:r>
            <w:r w:rsidRPr="006E5810">
              <w:rPr>
                <w:rFonts w:ascii="Arial" w:hAnsi="Arial" w:cs="Arial"/>
                <w:color w:val="000000"/>
                <w:spacing w:val="2"/>
              </w:rPr>
              <w:t>acompanhamento e controle da execução do contrato.</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w w:val="111"/>
              </w:rPr>
              <w:t xml:space="preserve">5.3 O fiscal do contrato anotará em registro próprio todas as ocorrências relacionadas com a </w:t>
            </w:r>
            <w:r w:rsidRPr="006E5810">
              <w:rPr>
                <w:rFonts w:ascii="Arial" w:hAnsi="Arial" w:cs="Arial"/>
                <w:color w:val="000000"/>
                <w:w w:val="103"/>
              </w:rPr>
              <w:t xml:space="preserve">execução do contrato, indicando dia, mês e ano, bem como o nome dos funcionários eventualmente </w:t>
            </w:r>
            <w:r w:rsidRPr="006E5810">
              <w:rPr>
                <w:rFonts w:ascii="Arial" w:hAnsi="Arial" w:cs="Arial"/>
                <w:color w:val="000000"/>
                <w:w w:val="105"/>
              </w:rPr>
              <w:t xml:space="preserve">envolvidos, determinando o que for necessário à regularização das faltas ou defeitos observados e </w:t>
            </w:r>
            <w:r w:rsidRPr="006E5810">
              <w:rPr>
                <w:rFonts w:ascii="Arial" w:hAnsi="Arial" w:cs="Arial"/>
                <w:color w:val="000000"/>
                <w:spacing w:val="2"/>
              </w:rPr>
              <w:t>encaminhando os apontamentos à autoridade competente para as providências cabíveis.</w:t>
            </w:r>
          </w:p>
          <w:p w:rsidR="007E0AF0" w:rsidRPr="006E5810" w:rsidRDefault="007E0AF0" w:rsidP="007E0AF0">
            <w:pPr>
              <w:pStyle w:val="PargrafodaLista"/>
              <w:ind w:left="0"/>
              <w:rPr>
                <w:rFonts w:ascii="Arial" w:hAnsi="Arial" w:cs="Arial"/>
                <w:color w:val="000000"/>
                <w:spacing w:val="2"/>
              </w:rPr>
            </w:pPr>
          </w:p>
          <w:p w:rsidR="007E0AF0" w:rsidRPr="006E5810" w:rsidRDefault="007E0AF0" w:rsidP="007E0AF0">
            <w:pPr>
              <w:pStyle w:val="PargrafodaLista"/>
              <w:ind w:left="0"/>
              <w:rPr>
                <w:rFonts w:ascii="Arial" w:hAnsi="Arial" w:cs="Arial"/>
                <w:b/>
                <w:color w:val="000000"/>
                <w:spacing w:val="2"/>
              </w:rPr>
            </w:pPr>
            <w:r w:rsidRPr="006E5810">
              <w:rPr>
                <w:rFonts w:ascii="Arial" w:hAnsi="Arial" w:cs="Arial"/>
                <w:b/>
                <w:color w:val="000000"/>
                <w:spacing w:val="2"/>
              </w:rPr>
              <w:t>6. DOS RECURSOS E DOTAÇÃO ORÇAMENTÁRIA</w:t>
            </w:r>
          </w:p>
          <w:p w:rsidR="007E0AF0" w:rsidRPr="006E5810" w:rsidRDefault="007E0AF0" w:rsidP="007E0AF0">
            <w:pPr>
              <w:pStyle w:val="PargrafodaLista"/>
              <w:ind w:left="0"/>
              <w:rPr>
                <w:rFonts w:ascii="Arial" w:hAnsi="Arial" w:cs="Arial"/>
                <w:color w:val="000000"/>
                <w:spacing w:val="2"/>
              </w:rPr>
            </w:pP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6.1. Os recursos financeiros para o pagamento do objeto do presente contrato será oriunda de recursos próprios do orçamento vigente na seguinte dotação:</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23 – Difusão Cultural</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13.392 – Cultura/Difusão Cultural</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1.027 – Estruturação e modernização das ações da Cultura</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63 – 4.4.90.00.00.00.00.00 Aplicações Diretas – 1.719.0000.1035 Aldir Blanc Lei 14399/2022</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VALOR R$ 18.504,41</w:t>
            </w:r>
          </w:p>
          <w:p w:rsidR="007E0AF0" w:rsidRPr="006E5810" w:rsidRDefault="007E0AF0" w:rsidP="007E0AF0">
            <w:pPr>
              <w:pStyle w:val="PargrafodaLista"/>
              <w:ind w:left="0"/>
              <w:rPr>
                <w:rFonts w:ascii="Arial" w:hAnsi="Arial" w:cs="Arial"/>
                <w:color w:val="000000"/>
                <w:spacing w:val="2"/>
              </w:rPr>
            </w:pPr>
          </w:p>
          <w:p w:rsidR="007E0AF0" w:rsidRPr="006E5810" w:rsidRDefault="007E0AF0" w:rsidP="007E0AF0">
            <w:pPr>
              <w:pStyle w:val="PargrafodaLista"/>
              <w:ind w:left="0"/>
              <w:rPr>
                <w:rFonts w:ascii="Arial" w:hAnsi="Arial" w:cs="Arial"/>
                <w:b/>
                <w:color w:val="000000"/>
                <w:spacing w:val="2"/>
              </w:rPr>
            </w:pPr>
            <w:r w:rsidRPr="006E5810">
              <w:rPr>
                <w:rFonts w:ascii="Arial" w:hAnsi="Arial" w:cs="Arial"/>
                <w:b/>
                <w:color w:val="000000"/>
                <w:spacing w:val="2"/>
              </w:rPr>
              <w:t>7. FORMA DE PAGAMENTO</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7.1 O pagamento será realizado após e emissão da respectiva NF, informando os dados bancários para pagamento, após a liquidação até o dia 31 de dezembro de 2024.</w:t>
            </w:r>
          </w:p>
          <w:p w:rsidR="007E0AF0" w:rsidRPr="006E5810" w:rsidRDefault="007E0AF0" w:rsidP="007E0AF0">
            <w:pPr>
              <w:pStyle w:val="PargrafodaLista"/>
              <w:ind w:left="0"/>
              <w:rPr>
                <w:rFonts w:ascii="Arial" w:hAnsi="Arial" w:cs="Arial"/>
                <w:color w:val="000000"/>
                <w:spacing w:val="2"/>
              </w:rPr>
            </w:pPr>
          </w:p>
          <w:p w:rsidR="007E0AF0" w:rsidRPr="006E5810" w:rsidRDefault="007E0AF0" w:rsidP="007E0AF0">
            <w:pPr>
              <w:pStyle w:val="PargrafodaLista"/>
              <w:ind w:left="0"/>
              <w:rPr>
                <w:rFonts w:ascii="Arial" w:hAnsi="Arial" w:cs="Arial"/>
                <w:b/>
                <w:color w:val="000000"/>
                <w:spacing w:val="2"/>
              </w:rPr>
            </w:pPr>
            <w:r w:rsidRPr="006E5810">
              <w:rPr>
                <w:rFonts w:ascii="Arial" w:hAnsi="Arial" w:cs="Arial"/>
                <w:b/>
                <w:color w:val="000000"/>
                <w:spacing w:val="2"/>
              </w:rPr>
              <w:t>8. DA RESPONSABILIDADE DA CONTRATANTE</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I-Efetuar o pagamento após a entrega dos referidos objetos do presente contrato.</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spacing w:val="2"/>
              </w:rPr>
              <w:t>II- Fiscalizar a entrega dos bens móveis/equipamentos, objeto do presente contrato.</w:t>
            </w:r>
          </w:p>
          <w:p w:rsidR="007E0AF0" w:rsidRPr="006E5810" w:rsidRDefault="007E0AF0" w:rsidP="007E0AF0">
            <w:pPr>
              <w:pStyle w:val="PargrafodaLista"/>
              <w:ind w:left="0"/>
              <w:rPr>
                <w:rFonts w:ascii="Arial" w:hAnsi="Arial" w:cs="Arial"/>
                <w:color w:val="000000"/>
                <w:spacing w:val="2"/>
              </w:rPr>
            </w:pPr>
          </w:p>
          <w:p w:rsidR="007E0AF0" w:rsidRPr="006E5810" w:rsidRDefault="007E0AF0" w:rsidP="007E0AF0">
            <w:pPr>
              <w:pStyle w:val="PargrafodaLista"/>
              <w:ind w:left="0"/>
              <w:rPr>
                <w:rFonts w:ascii="Arial" w:hAnsi="Arial" w:cs="Arial"/>
                <w:b/>
                <w:color w:val="000000"/>
                <w:spacing w:val="2"/>
              </w:rPr>
            </w:pPr>
            <w:r w:rsidRPr="006E5810">
              <w:rPr>
                <w:rFonts w:ascii="Arial" w:hAnsi="Arial" w:cs="Arial"/>
                <w:b/>
                <w:color w:val="000000"/>
                <w:spacing w:val="2"/>
              </w:rPr>
              <w:t>9. DA RESPONSABILIDADE DA CONTRATADA</w:t>
            </w:r>
          </w:p>
          <w:p w:rsidR="007E0AF0" w:rsidRPr="006E5810" w:rsidRDefault="007E0AF0" w:rsidP="007E0AF0">
            <w:pPr>
              <w:pStyle w:val="PargrafodaLista"/>
              <w:ind w:left="0"/>
              <w:rPr>
                <w:rFonts w:ascii="Arial" w:hAnsi="Arial" w:cs="Arial"/>
                <w:color w:val="000000" w:themeColor="text1"/>
              </w:rPr>
            </w:pPr>
            <w:r w:rsidRPr="006E5810">
              <w:rPr>
                <w:rFonts w:ascii="Arial" w:hAnsi="Arial" w:cs="Arial"/>
                <w:color w:val="000000"/>
                <w:spacing w:val="2"/>
              </w:rPr>
              <w:t>I-</w:t>
            </w:r>
            <w:r w:rsidRPr="006E5810">
              <w:rPr>
                <w:rFonts w:ascii="Arial" w:hAnsi="Arial" w:cs="Arial"/>
                <w:color w:val="000000" w:themeColor="text1"/>
              </w:rPr>
              <w:t xml:space="preserve"> Responder integralmente pelas obrigações contratuais, nos termos do  Inciso II, do Art. 125 do Código de Processo Civil, e Art. 121, da Lei 14.133/2021, no caso de, em qualquer hipótese, empregados da CONTRATADA intentarem reclamações trabalhistas contra a CONTRATANTE.</w:t>
            </w:r>
          </w:p>
          <w:p w:rsidR="007E0AF0" w:rsidRPr="006E5810" w:rsidRDefault="007E0AF0" w:rsidP="007E0AF0">
            <w:pPr>
              <w:pStyle w:val="PargrafodaLista"/>
              <w:ind w:left="0"/>
              <w:rPr>
                <w:rFonts w:ascii="Arial" w:hAnsi="Arial" w:cs="Arial"/>
                <w:color w:val="000000"/>
                <w:spacing w:val="2"/>
              </w:rPr>
            </w:pPr>
            <w:r w:rsidRPr="006E5810">
              <w:rPr>
                <w:rFonts w:ascii="Arial" w:hAnsi="Arial" w:cs="Arial"/>
                <w:color w:val="000000" w:themeColor="text1"/>
              </w:rPr>
              <w:t xml:space="preserve">II- Cumprir com as determinações do Ministério do Trabalho, relativas a segurança e </w:t>
            </w:r>
            <w:r w:rsidRPr="006E5810">
              <w:rPr>
                <w:rFonts w:ascii="Arial" w:hAnsi="Arial" w:cs="Arial"/>
                <w:color w:val="000000" w:themeColor="text1"/>
              </w:rPr>
              <w:lastRenderedPageBreak/>
              <w:t>medicina do trabalho.</w:t>
            </w:r>
          </w:p>
          <w:p w:rsidR="007E0AF0" w:rsidRPr="006E5810" w:rsidRDefault="007E0AF0" w:rsidP="007E0AF0">
            <w:pPr>
              <w:pStyle w:val="normal0"/>
              <w:pBdr>
                <w:top w:val="nil"/>
                <w:left w:val="nil"/>
                <w:bottom w:val="nil"/>
                <w:right w:val="nil"/>
                <w:between w:val="nil"/>
              </w:pBdr>
              <w:ind w:left="112"/>
              <w:jc w:val="both"/>
              <w:rPr>
                <w:color w:val="000000"/>
              </w:rPr>
            </w:pPr>
            <w:proofErr w:type="spellStart"/>
            <w:r w:rsidRPr="006E5810">
              <w:rPr>
                <w:color w:val="000000"/>
              </w:rPr>
              <w:t>III-Executar</w:t>
            </w:r>
            <w:proofErr w:type="spellEnd"/>
            <w:r w:rsidRPr="006E5810">
              <w:rPr>
                <w:color w:val="000000"/>
              </w:rPr>
              <w:t xml:space="preserve"> o objeto de acordo com o disposto neste termo de referência, bem como em eventual edital que o integre;</w:t>
            </w:r>
          </w:p>
          <w:p w:rsidR="007E0AF0" w:rsidRPr="006E5810" w:rsidRDefault="007E0AF0" w:rsidP="007E0AF0">
            <w:pPr>
              <w:pStyle w:val="normal0"/>
              <w:pBdr>
                <w:top w:val="nil"/>
                <w:left w:val="nil"/>
                <w:bottom w:val="nil"/>
                <w:right w:val="nil"/>
                <w:between w:val="nil"/>
              </w:pBdr>
              <w:ind w:left="112"/>
              <w:jc w:val="both"/>
              <w:rPr>
                <w:color w:val="000000"/>
              </w:rPr>
            </w:pPr>
            <w:proofErr w:type="spellStart"/>
            <w:r w:rsidRPr="006E5810">
              <w:rPr>
                <w:color w:val="000000"/>
              </w:rPr>
              <w:t>IV-Manter</w:t>
            </w:r>
            <w:proofErr w:type="spellEnd"/>
            <w:r w:rsidRPr="006E5810">
              <w:rPr>
                <w:color w:val="000000"/>
              </w:rPr>
              <w:t>, durante a execução do objeto todas as condições de habilitação previstas no edital e em compatibilidade com as obrigações assumidas;</w:t>
            </w:r>
          </w:p>
          <w:p w:rsidR="007E0AF0" w:rsidRPr="006E5810" w:rsidRDefault="007E0AF0" w:rsidP="007E0AF0">
            <w:pPr>
              <w:pStyle w:val="normal0"/>
              <w:pBdr>
                <w:top w:val="nil"/>
                <w:left w:val="nil"/>
                <w:bottom w:val="nil"/>
                <w:right w:val="nil"/>
                <w:between w:val="nil"/>
              </w:pBdr>
              <w:ind w:left="112"/>
              <w:jc w:val="both"/>
              <w:rPr>
                <w:color w:val="000000"/>
              </w:rPr>
            </w:pPr>
            <w:proofErr w:type="spellStart"/>
            <w:r w:rsidRPr="006E5810">
              <w:rPr>
                <w:color w:val="000000"/>
              </w:rPr>
              <w:t>V-Responsabilizar-se</w:t>
            </w:r>
            <w:proofErr w:type="spellEnd"/>
            <w:r w:rsidRPr="006E5810">
              <w:rPr>
                <w:color w:val="000000"/>
              </w:rPr>
              <w:t xml:space="preserve"> por eventuais danos causados à Administração ou a terceiros decorrentes de sua culpa ou dolo na execução do objeto;</w:t>
            </w:r>
          </w:p>
          <w:p w:rsidR="007E0AF0" w:rsidRPr="006E5810" w:rsidRDefault="007E0AF0" w:rsidP="007E0AF0">
            <w:pPr>
              <w:pStyle w:val="normal0"/>
              <w:pBdr>
                <w:top w:val="nil"/>
                <w:left w:val="nil"/>
                <w:bottom w:val="nil"/>
                <w:right w:val="nil"/>
                <w:between w:val="nil"/>
              </w:pBdr>
              <w:ind w:left="112"/>
              <w:jc w:val="both"/>
              <w:rPr>
                <w:color w:val="000000"/>
              </w:rPr>
            </w:pPr>
            <w:proofErr w:type="spellStart"/>
            <w:r w:rsidRPr="006E5810">
              <w:rPr>
                <w:color w:val="000000"/>
              </w:rPr>
              <w:t>VI-Responsabilizar-se</w:t>
            </w:r>
            <w:proofErr w:type="spellEnd"/>
            <w:r w:rsidRPr="006E5810">
              <w:rPr>
                <w:color w:val="000000"/>
              </w:rPr>
              <w:t xml:space="preserve"> pelos custos inerentes a encargos tributários, sociais, fiscais, trabalhistas, previdenciários, securitários e de gerenciamento, resultantes da execução do objeto;</w:t>
            </w:r>
          </w:p>
          <w:p w:rsidR="007E0AF0" w:rsidRPr="006E5810" w:rsidRDefault="007E0AF0" w:rsidP="007E0AF0">
            <w:pPr>
              <w:pStyle w:val="normal0"/>
              <w:pBdr>
                <w:top w:val="nil"/>
                <w:left w:val="nil"/>
                <w:bottom w:val="nil"/>
                <w:right w:val="nil"/>
                <w:between w:val="nil"/>
              </w:pBdr>
              <w:ind w:left="112"/>
              <w:jc w:val="both"/>
              <w:rPr>
                <w:color w:val="000000"/>
              </w:rPr>
            </w:pPr>
            <w:proofErr w:type="spellStart"/>
            <w:r w:rsidRPr="006E5810">
              <w:rPr>
                <w:color w:val="000000"/>
              </w:rPr>
              <w:t>VII-Obedecer</w:t>
            </w:r>
            <w:proofErr w:type="spellEnd"/>
            <w:r w:rsidRPr="006E5810">
              <w:rPr>
                <w:color w:val="000000"/>
              </w:rPr>
              <w:t xml:space="preserve"> ao objeto e as disposições legais contratuais, prestando-os dentro dos padrões de qualidade, continuidade e regularidade;</w:t>
            </w:r>
          </w:p>
          <w:p w:rsidR="007E0AF0" w:rsidRPr="006E5810" w:rsidRDefault="007E0AF0" w:rsidP="007E0AF0">
            <w:pPr>
              <w:pStyle w:val="normal0"/>
              <w:pBdr>
                <w:top w:val="nil"/>
                <w:left w:val="nil"/>
                <w:bottom w:val="nil"/>
                <w:right w:val="nil"/>
                <w:between w:val="nil"/>
              </w:pBdr>
              <w:ind w:left="112"/>
              <w:jc w:val="both"/>
              <w:rPr>
                <w:color w:val="000000"/>
              </w:rPr>
            </w:pPr>
            <w:proofErr w:type="spellStart"/>
            <w:r w:rsidRPr="006E5810">
              <w:rPr>
                <w:color w:val="000000"/>
              </w:rPr>
              <w:t>VIII-Exigir</w:t>
            </w:r>
            <w:proofErr w:type="spellEnd"/>
            <w:r w:rsidRPr="006E5810">
              <w:rPr>
                <w:color w:val="000000"/>
              </w:rPr>
              <w:t xml:space="preserve"> do órgão requisitante a Solicitação e a Autorização de Fornecimento para a efetiva execução do objeto;</w:t>
            </w:r>
          </w:p>
          <w:p w:rsidR="007E0AF0" w:rsidRPr="006E5810" w:rsidRDefault="007E0AF0" w:rsidP="007E0AF0">
            <w:pPr>
              <w:pStyle w:val="normal0"/>
              <w:pBdr>
                <w:top w:val="nil"/>
                <w:left w:val="nil"/>
                <w:bottom w:val="nil"/>
                <w:right w:val="nil"/>
                <w:between w:val="nil"/>
              </w:pBdr>
              <w:ind w:left="112"/>
              <w:jc w:val="both"/>
              <w:rPr>
                <w:color w:val="000000"/>
              </w:rPr>
            </w:pPr>
            <w:r w:rsidRPr="006E5810">
              <w:rPr>
                <w:color w:val="000000"/>
              </w:rPr>
              <w:t>IX Fornecer os bens móveis/equipamentos de acordo com o cronograma do Município de Ipumirim, executando-os no local determinado pelo setor municipal requisitante;</w:t>
            </w:r>
          </w:p>
          <w:p w:rsidR="007E0AF0" w:rsidRPr="006E5810" w:rsidRDefault="007E0AF0" w:rsidP="007E0AF0">
            <w:pPr>
              <w:pStyle w:val="normal0"/>
              <w:pBdr>
                <w:top w:val="nil"/>
                <w:left w:val="nil"/>
                <w:bottom w:val="nil"/>
                <w:right w:val="nil"/>
                <w:between w:val="nil"/>
              </w:pBdr>
              <w:ind w:left="112"/>
              <w:jc w:val="both"/>
              <w:rPr>
                <w:color w:val="000000"/>
              </w:rPr>
            </w:pPr>
            <w:r w:rsidRPr="006E5810">
              <w:rPr>
                <w:color w:val="000000"/>
              </w:rPr>
              <w:t>X- Cotar e entregar materiais em conformidade com as características mínimas constantes nas especificações do objeto quando necessário.</w:t>
            </w:r>
          </w:p>
          <w:p w:rsidR="007E0AF0" w:rsidRPr="006E5810" w:rsidRDefault="007E0AF0" w:rsidP="007E0AF0">
            <w:pPr>
              <w:pStyle w:val="normal0"/>
              <w:pBdr>
                <w:top w:val="nil"/>
                <w:left w:val="nil"/>
                <w:bottom w:val="nil"/>
                <w:right w:val="nil"/>
                <w:between w:val="nil"/>
              </w:pBdr>
              <w:ind w:left="112"/>
              <w:jc w:val="both"/>
              <w:rPr>
                <w:color w:val="000000"/>
              </w:rPr>
            </w:pPr>
            <w:r w:rsidRPr="006E5810">
              <w:rPr>
                <w:color w:val="000000"/>
              </w:rPr>
              <w:t>XI- 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w:t>
            </w:r>
          </w:p>
          <w:p w:rsidR="007E0AF0" w:rsidRPr="006E5810" w:rsidRDefault="007E0AF0" w:rsidP="007E0AF0">
            <w:pPr>
              <w:pStyle w:val="normal0"/>
              <w:pBdr>
                <w:top w:val="nil"/>
                <w:left w:val="nil"/>
                <w:bottom w:val="nil"/>
                <w:right w:val="nil"/>
                <w:between w:val="nil"/>
              </w:pBdr>
              <w:ind w:left="112"/>
              <w:jc w:val="both"/>
              <w:rPr>
                <w:color w:val="000000"/>
              </w:rPr>
            </w:pPr>
          </w:p>
          <w:p w:rsidR="007E0AF0" w:rsidRPr="006E5810" w:rsidRDefault="006E5810" w:rsidP="007E0AF0">
            <w:pPr>
              <w:pStyle w:val="normal0"/>
              <w:pBdr>
                <w:top w:val="nil"/>
                <w:left w:val="nil"/>
                <w:bottom w:val="nil"/>
                <w:right w:val="nil"/>
                <w:between w:val="nil"/>
              </w:pBdr>
              <w:ind w:left="112"/>
              <w:jc w:val="both"/>
              <w:rPr>
                <w:b/>
                <w:color w:val="000000"/>
              </w:rPr>
            </w:pPr>
            <w:r w:rsidRPr="006E5810">
              <w:rPr>
                <w:b/>
                <w:color w:val="000000"/>
              </w:rPr>
              <w:t xml:space="preserve">10. </w:t>
            </w:r>
            <w:r w:rsidR="007E0AF0" w:rsidRPr="006E5810">
              <w:rPr>
                <w:b/>
                <w:color w:val="000000"/>
              </w:rPr>
              <w:t>DAS PENALIDADES</w:t>
            </w:r>
          </w:p>
          <w:p w:rsidR="007E0AF0" w:rsidRPr="006E5810" w:rsidRDefault="007E0AF0" w:rsidP="007E0AF0">
            <w:pPr>
              <w:pStyle w:val="SemEspaamento"/>
              <w:ind w:left="106"/>
              <w:jc w:val="both"/>
              <w:rPr>
                <w:rFonts w:ascii="Arial" w:hAnsi="Arial" w:cs="Arial"/>
                <w:color w:val="000000" w:themeColor="text1"/>
                <w:sz w:val="22"/>
                <w:szCs w:val="22"/>
              </w:rPr>
            </w:pPr>
            <w:r w:rsidRPr="006E5810">
              <w:rPr>
                <w:rFonts w:ascii="Arial" w:hAnsi="Arial" w:cs="Arial"/>
                <w:color w:val="000000"/>
                <w:sz w:val="22"/>
                <w:szCs w:val="22"/>
              </w:rPr>
              <w:t xml:space="preserve"> 10.1</w:t>
            </w:r>
            <w:r w:rsidRPr="006E5810">
              <w:rPr>
                <w:rFonts w:ascii="Arial" w:hAnsi="Arial" w:cs="Arial"/>
                <w:color w:val="000000" w:themeColor="text1"/>
                <w:sz w:val="22"/>
                <w:szCs w:val="22"/>
              </w:rPr>
              <w:t xml:space="preserve">Pela inexecução total ou parcial do Contrato, o </w:t>
            </w:r>
            <w:r w:rsidRPr="006E5810">
              <w:rPr>
                <w:rFonts w:ascii="Arial" w:hAnsi="Arial" w:cs="Arial"/>
                <w:bCs/>
                <w:color w:val="000000" w:themeColor="text1"/>
                <w:sz w:val="22"/>
                <w:szCs w:val="22"/>
              </w:rPr>
              <w:t xml:space="preserve">CONTRATANTE </w:t>
            </w:r>
            <w:r w:rsidRPr="006E5810">
              <w:rPr>
                <w:rFonts w:ascii="Arial" w:hAnsi="Arial" w:cs="Arial"/>
                <w:color w:val="000000" w:themeColor="text1"/>
                <w:sz w:val="22"/>
                <w:szCs w:val="22"/>
              </w:rPr>
              <w:t>poderá aplicar ao</w:t>
            </w:r>
            <w:proofErr w:type="gramStart"/>
            <w:r w:rsidRPr="006E5810">
              <w:rPr>
                <w:rFonts w:ascii="Arial" w:hAnsi="Arial" w:cs="Arial"/>
                <w:color w:val="000000" w:themeColor="text1"/>
                <w:sz w:val="22"/>
                <w:szCs w:val="22"/>
              </w:rPr>
              <w:t xml:space="preserve">   </w:t>
            </w:r>
            <w:proofErr w:type="gramEnd"/>
            <w:r w:rsidRPr="006E5810">
              <w:rPr>
                <w:rFonts w:ascii="Arial" w:hAnsi="Arial" w:cs="Arial"/>
                <w:bCs/>
                <w:color w:val="000000" w:themeColor="text1"/>
                <w:sz w:val="22"/>
                <w:szCs w:val="22"/>
              </w:rPr>
              <w:t xml:space="preserve">CONTRATADO, </w:t>
            </w:r>
            <w:r w:rsidRPr="006E5810">
              <w:rPr>
                <w:rFonts w:ascii="Arial" w:hAnsi="Arial" w:cs="Arial"/>
                <w:color w:val="000000" w:themeColor="text1"/>
                <w:sz w:val="22"/>
                <w:szCs w:val="22"/>
              </w:rPr>
              <w:t>isolada ou conjuntamente,</w:t>
            </w:r>
            <w:r w:rsidRPr="006E5810">
              <w:rPr>
                <w:rFonts w:ascii="Arial" w:hAnsi="Arial" w:cs="Arial"/>
                <w:bCs/>
                <w:color w:val="000000" w:themeColor="text1"/>
                <w:sz w:val="22"/>
                <w:szCs w:val="22"/>
              </w:rPr>
              <w:t xml:space="preserve"> </w:t>
            </w:r>
            <w:r w:rsidRPr="006E5810">
              <w:rPr>
                <w:rFonts w:ascii="Arial" w:hAnsi="Arial" w:cs="Arial"/>
                <w:color w:val="000000" w:themeColor="text1"/>
                <w:sz w:val="22"/>
                <w:szCs w:val="22"/>
              </w:rPr>
              <w:t>as seguintes penalidades:</w:t>
            </w:r>
          </w:p>
          <w:p w:rsidR="007E0AF0" w:rsidRPr="006E5810" w:rsidRDefault="007E0AF0" w:rsidP="007E0AF0">
            <w:pPr>
              <w:widowControl/>
              <w:numPr>
                <w:ilvl w:val="0"/>
                <w:numId w:val="24"/>
              </w:numPr>
              <w:tabs>
                <w:tab w:val="num" w:pos="2835"/>
                <w:tab w:val="left" w:pos="4294"/>
              </w:tabs>
              <w:autoSpaceDE/>
              <w:autoSpaceDN/>
              <w:jc w:val="both"/>
              <w:rPr>
                <w:rFonts w:ascii="Arial" w:hAnsi="Arial" w:cs="Arial"/>
                <w:color w:val="000000" w:themeColor="text1"/>
              </w:rPr>
            </w:pPr>
            <w:r w:rsidRPr="006E5810">
              <w:rPr>
                <w:rFonts w:ascii="Arial" w:hAnsi="Arial" w:cs="Arial"/>
                <w:color w:val="000000" w:themeColor="text1"/>
              </w:rPr>
              <w:t>advertência;</w:t>
            </w:r>
          </w:p>
          <w:p w:rsidR="007E0AF0" w:rsidRPr="006E5810" w:rsidRDefault="007E0AF0" w:rsidP="007E0AF0">
            <w:pPr>
              <w:widowControl/>
              <w:numPr>
                <w:ilvl w:val="0"/>
                <w:numId w:val="24"/>
              </w:numPr>
              <w:tabs>
                <w:tab w:val="num" w:pos="2835"/>
                <w:tab w:val="left" w:pos="4294"/>
              </w:tabs>
              <w:autoSpaceDE/>
              <w:autoSpaceDN/>
              <w:jc w:val="both"/>
              <w:rPr>
                <w:rFonts w:ascii="Arial" w:hAnsi="Arial" w:cs="Arial"/>
                <w:color w:val="000000" w:themeColor="text1"/>
              </w:rPr>
            </w:pPr>
            <w:r w:rsidRPr="006E5810">
              <w:rPr>
                <w:rFonts w:ascii="Arial" w:hAnsi="Arial" w:cs="Arial"/>
                <w:color w:val="000000" w:themeColor="text1"/>
              </w:rPr>
              <w:t>multa de 20% (vinte por cento) do valor total do contrato;</w:t>
            </w:r>
          </w:p>
          <w:p w:rsidR="007E0AF0" w:rsidRPr="006E5810" w:rsidRDefault="007E0AF0" w:rsidP="007E0AF0">
            <w:pPr>
              <w:widowControl/>
              <w:numPr>
                <w:ilvl w:val="0"/>
                <w:numId w:val="24"/>
              </w:numPr>
              <w:tabs>
                <w:tab w:val="num" w:pos="2835"/>
                <w:tab w:val="left" w:pos="4294"/>
              </w:tabs>
              <w:autoSpaceDE/>
              <w:autoSpaceDN/>
              <w:jc w:val="both"/>
              <w:rPr>
                <w:rFonts w:ascii="Arial" w:hAnsi="Arial" w:cs="Arial"/>
                <w:color w:val="000000" w:themeColor="text1"/>
              </w:rPr>
            </w:pPr>
            <w:r w:rsidRPr="006E5810">
              <w:rPr>
                <w:rFonts w:ascii="Arial" w:hAnsi="Arial" w:cs="Arial"/>
                <w:color w:val="000000" w:themeColor="text1"/>
              </w:rPr>
              <w:t>suspensão temporária de participação em licitações e impedimento de contratar com a Administração por um período de 2 (dois) anos;</w:t>
            </w:r>
          </w:p>
          <w:p w:rsidR="007E0AF0" w:rsidRPr="006E5810" w:rsidRDefault="007E0AF0" w:rsidP="007E0AF0">
            <w:pPr>
              <w:pStyle w:val="normal0"/>
              <w:pBdr>
                <w:top w:val="nil"/>
                <w:left w:val="nil"/>
                <w:bottom w:val="nil"/>
                <w:right w:val="nil"/>
                <w:between w:val="nil"/>
              </w:pBdr>
              <w:ind w:left="112"/>
              <w:jc w:val="both"/>
              <w:rPr>
                <w:color w:val="000000" w:themeColor="text1"/>
              </w:rPr>
            </w:pPr>
            <w:r w:rsidRPr="006E5810">
              <w:rPr>
                <w:color w:val="000000" w:themeColor="text1"/>
              </w:rPr>
              <w:t>Declaração de inidoneidade para licitar ou contratar com a Administração Pública.</w:t>
            </w:r>
          </w:p>
          <w:p w:rsidR="007E0AF0" w:rsidRPr="006E5810" w:rsidRDefault="007E0AF0" w:rsidP="007E0AF0">
            <w:pPr>
              <w:pStyle w:val="normal0"/>
              <w:pBdr>
                <w:top w:val="nil"/>
                <w:left w:val="nil"/>
                <w:bottom w:val="nil"/>
                <w:right w:val="nil"/>
                <w:between w:val="nil"/>
              </w:pBdr>
              <w:ind w:left="112"/>
              <w:jc w:val="both"/>
              <w:rPr>
                <w:color w:val="000000" w:themeColor="text1"/>
              </w:rPr>
            </w:pPr>
          </w:p>
          <w:p w:rsidR="007E0AF0" w:rsidRPr="006E5810" w:rsidRDefault="006E5810" w:rsidP="007E0AF0">
            <w:pPr>
              <w:pStyle w:val="normal0"/>
              <w:pBdr>
                <w:top w:val="nil"/>
                <w:left w:val="nil"/>
                <w:bottom w:val="nil"/>
                <w:right w:val="nil"/>
                <w:between w:val="nil"/>
              </w:pBdr>
              <w:ind w:left="112"/>
              <w:jc w:val="both"/>
              <w:rPr>
                <w:b/>
                <w:color w:val="000000" w:themeColor="text1"/>
              </w:rPr>
            </w:pPr>
            <w:r w:rsidRPr="006E5810">
              <w:rPr>
                <w:b/>
                <w:color w:val="000000" w:themeColor="text1"/>
              </w:rPr>
              <w:t xml:space="preserve">11. </w:t>
            </w:r>
            <w:r w:rsidR="007E0AF0" w:rsidRPr="006E5810">
              <w:rPr>
                <w:b/>
                <w:color w:val="000000" w:themeColor="text1"/>
              </w:rPr>
              <w:t>DAS RESCIÇÃO</w:t>
            </w:r>
          </w:p>
          <w:p w:rsidR="007E0AF0" w:rsidRPr="006E5810" w:rsidRDefault="007E0AF0" w:rsidP="007E0AF0">
            <w:pPr>
              <w:pStyle w:val="normal0"/>
              <w:pBdr>
                <w:top w:val="nil"/>
                <w:left w:val="nil"/>
                <w:bottom w:val="nil"/>
                <w:right w:val="nil"/>
                <w:between w:val="nil"/>
              </w:pBdr>
              <w:ind w:left="112"/>
              <w:jc w:val="both"/>
              <w:rPr>
                <w:color w:val="000000" w:themeColor="text1"/>
              </w:rPr>
            </w:pPr>
            <w:r w:rsidRPr="006E5810">
              <w:rPr>
                <w:color w:val="000000" w:themeColor="text1"/>
              </w:rPr>
              <w:t xml:space="preserve">11.1 </w:t>
            </w:r>
            <w:proofErr w:type="gramStart"/>
            <w:r w:rsidRPr="006E5810">
              <w:rPr>
                <w:color w:val="000000" w:themeColor="text1"/>
              </w:rPr>
              <w:t>–Constituirão</w:t>
            </w:r>
            <w:proofErr w:type="gramEnd"/>
            <w:r w:rsidRPr="006E5810">
              <w:rPr>
                <w:color w:val="000000" w:themeColor="text1"/>
              </w:rPr>
              <w:t xml:space="preserve"> motivos para rescisão contratual</w:t>
            </w:r>
          </w:p>
          <w:p w:rsidR="007E0AF0" w:rsidRPr="006E5810" w:rsidRDefault="007E0AF0" w:rsidP="007E0AF0">
            <w:pPr>
              <w:pStyle w:val="normal0"/>
              <w:pBdr>
                <w:top w:val="nil"/>
                <w:left w:val="nil"/>
                <w:bottom w:val="nil"/>
                <w:right w:val="nil"/>
                <w:between w:val="nil"/>
              </w:pBdr>
              <w:ind w:left="112"/>
              <w:jc w:val="both"/>
              <w:rPr>
                <w:bCs/>
                <w:color w:val="000000" w:themeColor="text1"/>
              </w:rPr>
            </w:pPr>
            <w:r w:rsidRPr="006E5810">
              <w:rPr>
                <w:bCs/>
                <w:color w:val="000000" w:themeColor="text1"/>
              </w:rPr>
              <w:t xml:space="preserve">I-A inexecução total ou parcial dos Contratos decorrentes desta licitação ensejará sua rescisão administrativa, nas hipóteses previstas nos arts. </w:t>
            </w:r>
            <w:proofErr w:type="gramStart"/>
            <w:r w:rsidRPr="006E5810">
              <w:rPr>
                <w:bCs/>
                <w:color w:val="000000" w:themeColor="text1"/>
              </w:rPr>
              <w:t>137,</w:t>
            </w:r>
            <w:proofErr w:type="gramEnd"/>
            <w:r w:rsidRPr="006E5810">
              <w:rPr>
                <w:bCs/>
                <w:color w:val="000000" w:themeColor="text1"/>
              </w:rPr>
              <w:t>138,139 da  Lei nº 14.133/2021 e posteriores alterações, com as conseqüências previstas no art. 80 da referida Lei, sem que caiba à empresa contratada direito a qualquer indenização.</w:t>
            </w:r>
          </w:p>
          <w:p w:rsidR="007E0AF0" w:rsidRPr="006E5810" w:rsidRDefault="007E0AF0" w:rsidP="007E0AF0">
            <w:pPr>
              <w:pStyle w:val="Ttulo3"/>
              <w:keepLines w:val="0"/>
              <w:widowControl/>
              <w:tabs>
                <w:tab w:val="left" w:pos="708"/>
              </w:tabs>
              <w:spacing w:before="0"/>
              <w:jc w:val="both"/>
              <w:rPr>
                <w:rFonts w:ascii="Arial" w:hAnsi="Arial" w:cs="Arial"/>
                <w:b w:val="0"/>
                <w:bCs w:val="0"/>
                <w:color w:val="000000" w:themeColor="text1"/>
              </w:rPr>
            </w:pPr>
            <w:r w:rsidRPr="006E5810">
              <w:rPr>
                <w:rFonts w:ascii="Arial" w:hAnsi="Arial" w:cs="Arial"/>
                <w:b w:val="0"/>
                <w:bCs w:val="0"/>
                <w:color w:val="000000" w:themeColor="text1"/>
              </w:rPr>
              <w:t>II-A inocorrência do contratado, nas hipóteses previstas no  Inciso IX, do Art. 155 da Lei 14.133/2021, sem prejuízo às penalidades previstas neste, ensejará a rescisão administrativa do contrato, com as conseqüências previstas na referida Lei, sem que caiba à empresa contratada direito a qualquer indenização.</w:t>
            </w:r>
          </w:p>
          <w:p w:rsidR="007E0AF0" w:rsidRPr="006E5810" w:rsidRDefault="007E0AF0" w:rsidP="007E0AF0">
            <w:pPr>
              <w:rPr>
                <w:rFonts w:ascii="Arial" w:hAnsi="Arial" w:cs="Arial"/>
              </w:rPr>
            </w:pPr>
          </w:p>
          <w:p w:rsidR="007E0AF0" w:rsidRPr="006E5810" w:rsidRDefault="007E0AF0" w:rsidP="007E0AF0">
            <w:pPr>
              <w:tabs>
                <w:tab w:val="left" w:pos="708"/>
              </w:tabs>
              <w:rPr>
                <w:rFonts w:ascii="Arial" w:hAnsi="Arial" w:cs="Arial"/>
                <w:color w:val="000000" w:themeColor="text1"/>
              </w:rPr>
            </w:pPr>
            <w:r w:rsidRPr="006E5810">
              <w:rPr>
                <w:rFonts w:ascii="Arial" w:hAnsi="Arial" w:cs="Arial"/>
                <w:b/>
                <w:color w:val="000000" w:themeColor="text1"/>
              </w:rPr>
              <w:t>11.2</w:t>
            </w:r>
            <w:r w:rsidRPr="006E5810">
              <w:rPr>
                <w:rFonts w:ascii="Arial" w:hAnsi="Arial" w:cs="Arial"/>
                <w:color w:val="000000" w:themeColor="text1"/>
              </w:rPr>
              <w:t>-A rescisão contratual poderá ser:</w:t>
            </w:r>
          </w:p>
          <w:p w:rsidR="007E0AF0" w:rsidRPr="006E5810" w:rsidRDefault="007E0AF0" w:rsidP="007E0AF0">
            <w:pPr>
              <w:tabs>
                <w:tab w:val="left" w:pos="708"/>
              </w:tabs>
              <w:jc w:val="both"/>
              <w:rPr>
                <w:rFonts w:ascii="Arial" w:hAnsi="Arial" w:cs="Arial"/>
                <w:color w:val="000000" w:themeColor="text1"/>
              </w:rPr>
            </w:pPr>
            <w:r w:rsidRPr="006E5810">
              <w:rPr>
                <w:rFonts w:ascii="Arial" w:hAnsi="Arial" w:cs="Arial"/>
                <w:b/>
                <w:color w:val="000000" w:themeColor="text1"/>
              </w:rPr>
              <w:t>11.2.1</w:t>
            </w:r>
            <w:r w:rsidRPr="006E5810">
              <w:rPr>
                <w:rFonts w:ascii="Arial" w:hAnsi="Arial" w:cs="Arial"/>
                <w:color w:val="000000" w:themeColor="text1"/>
              </w:rPr>
              <w:t>-determinada por ato unilateral da Administração, nos termos do Art. 139, da Lei nº 14.133/2021, nos casos enunciados nos Incisos VIII e X, do Art. 137, da referida Lei.</w:t>
            </w:r>
          </w:p>
          <w:p w:rsidR="007E0AF0" w:rsidRPr="006E5810" w:rsidRDefault="007E0AF0" w:rsidP="007E0AF0">
            <w:pPr>
              <w:tabs>
                <w:tab w:val="left" w:pos="708"/>
              </w:tabs>
              <w:jc w:val="both"/>
              <w:rPr>
                <w:rFonts w:ascii="Arial" w:hAnsi="Arial" w:cs="Arial"/>
                <w:b/>
                <w:color w:val="000000" w:themeColor="text1"/>
              </w:rPr>
            </w:pPr>
            <w:r w:rsidRPr="006E5810">
              <w:rPr>
                <w:rFonts w:ascii="Arial" w:hAnsi="Arial" w:cs="Arial"/>
                <w:b/>
                <w:color w:val="000000" w:themeColor="text1"/>
              </w:rPr>
              <w:t>11.2.2-</w:t>
            </w:r>
            <w:r w:rsidRPr="006E5810">
              <w:rPr>
                <w:rFonts w:ascii="Arial" w:hAnsi="Arial" w:cs="Arial"/>
                <w:color w:val="000000" w:themeColor="text1"/>
              </w:rPr>
              <w:t xml:space="preserve">amigável, mediante autorização da autoridade competente, reduzida a termo no </w:t>
            </w:r>
            <w:r w:rsidRPr="006E5810">
              <w:rPr>
                <w:rFonts w:ascii="Arial" w:hAnsi="Arial" w:cs="Arial"/>
                <w:color w:val="000000" w:themeColor="text1"/>
              </w:rPr>
              <w:lastRenderedPageBreak/>
              <w:t>processo licitatório, desde que demonstrada conveniência para a Administração.</w:t>
            </w:r>
          </w:p>
          <w:p w:rsidR="007E0AF0" w:rsidRPr="006E5810" w:rsidRDefault="007E0AF0" w:rsidP="007E0AF0">
            <w:pPr>
              <w:tabs>
                <w:tab w:val="left" w:pos="708"/>
              </w:tabs>
              <w:rPr>
                <w:rFonts w:ascii="Arial" w:hAnsi="Arial" w:cs="Arial"/>
                <w:color w:val="000000" w:themeColor="text1"/>
              </w:rPr>
            </w:pPr>
            <w:r w:rsidRPr="006E5810">
              <w:rPr>
                <w:rFonts w:ascii="Arial" w:hAnsi="Arial" w:cs="Arial"/>
                <w:b/>
                <w:color w:val="000000" w:themeColor="text1"/>
              </w:rPr>
              <w:t>11.2.3-</w:t>
            </w:r>
            <w:r w:rsidRPr="006E5810">
              <w:rPr>
                <w:rFonts w:ascii="Arial" w:hAnsi="Arial" w:cs="Arial"/>
                <w:color w:val="000000" w:themeColor="text1"/>
              </w:rPr>
              <w:t>Judicial, nos termos da legislação.</w:t>
            </w:r>
          </w:p>
          <w:p w:rsidR="007E0AF0" w:rsidRPr="006E5810" w:rsidRDefault="007E0AF0" w:rsidP="007E0AF0">
            <w:pPr>
              <w:tabs>
                <w:tab w:val="left" w:pos="708"/>
              </w:tabs>
              <w:jc w:val="both"/>
              <w:rPr>
                <w:rFonts w:ascii="Arial" w:hAnsi="Arial" w:cs="Arial"/>
                <w:bCs/>
                <w:color w:val="000000" w:themeColor="text1"/>
              </w:rPr>
            </w:pPr>
            <w:r w:rsidRPr="006E5810">
              <w:rPr>
                <w:rFonts w:ascii="Arial" w:eastAsia="Times New Roman" w:hAnsi="Arial" w:cs="Arial"/>
                <w:b/>
                <w:bCs/>
                <w:color w:val="000000" w:themeColor="text1"/>
              </w:rPr>
              <w:t>11.2.4-</w:t>
            </w:r>
            <w:r w:rsidRPr="006E5810">
              <w:rPr>
                <w:rFonts w:ascii="Arial" w:hAnsi="Arial" w:cs="Arial"/>
                <w:b/>
                <w:bCs/>
                <w:color w:val="000000" w:themeColor="text1"/>
              </w:rPr>
              <w:t xml:space="preserve"> </w:t>
            </w:r>
            <w:r w:rsidRPr="006E5810">
              <w:rPr>
                <w:rFonts w:ascii="Arial" w:hAnsi="Arial" w:cs="Arial"/>
                <w:bCs/>
                <w:color w:val="000000" w:themeColor="text1"/>
              </w:rPr>
              <w:t>A aplicação das penalidades previstas, não eximirão o contratado da restituição aos cofres públicos dos danos causados à Administração Pública em face a inexecução total ou parcial do objeto.</w:t>
            </w:r>
          </w:p>
          <w:p w:rsidR="007E0AF0" w:rsidRPr="006E5810" w:rsidRDefault="007E0AF0" w:rsidP="007E0AF0">
            <w:pPr>
              <w:jc w:val="both"/>
              <w:rPr>
                <w:rFonts w:ascii="Arial" w:hAnsi="Arial" w:cs="Arial"/>
                <w:b/>
                <w:bCs/>
                <w:color w:val="000000" w:themeColor="text1"/>
              </w:rPr>
            </w:pPr>
          </w:p>
          <w:p w:rsidR="007E0AF0" w:rsidRPr="006E5810" w:rsidRDefault="007E0AF0" w:rsidP="007E0AF0">
            <w:pPr>
              <w:jc w:val="both"/>
              <w:rPr>
                <w:rFonts w:ascii="Arial" w:hAnsi="Arial" w:cs="Arial"/>
                <w:color w:val="000000" w:themeColor="text1"/>
              </w:rPr>
            </w:pPr>
            <w:r w:rsidRPr="006E5810">
              <w:rPr>
                <w:rFonts w:ascii="Arial" w:hAnsi="Arial" w:cs="Arial"/>
                <w:b/>
                <w:bCs/>
                <w:color w:val="000000" w:themeColor="text1"/>
              </w:rPr>
              <w:t>12- DA LEGISLAÇÃO APLICÁVEL:</w:t>
            </w:r>
            <w:r w:rsidRPr="006E5810">
              <w:rPr>
                <w:rFonts w:ascii="Arial" w:hAnsi="Arial" w:cs="Arial"/>
                <w:color w:val="000000" w:themeColor="text1"/>
              </w:rPr>
              <w:t xml:space="preserve"> </w:t>
            </w:r>
          </w:p>
          <w:p w:rsidR="007E0AF0" w:rsidRPr="006E5810" w:rsidRDefault="007E0AF0" w:rsidP="007E0AF0">
            <w:pPr>
              <w:jc w:val="both"/>
              <w:rPr>
                <w:rFonts w:ascii="Arial" w:hAnsi="Arial" w:cs="Arial"/>
                <w:color w:val="000000" w:themeColor="text1"/>
              </w:rPr>
            </w:pPr>
            <w:r w:rsidRPr="006E5810">
              <w:rPr>
                <w:rFonts w:ascii="Arial" w:hAnsi="Arial" w:cs="Arial"/>
                <w:b/>
                <w:color w:val="000000" w:themeColor="text1"/>
              </w:rPr>
              <w:t>12.1</w:t>
            </w:r>
            <w:r w:rsidRPr="006E5810">
              <w:rPr>
                <w:rFonts w:ascii="Arial" w:hAnsi="Arial" w:cs="Arial"/>
                <w:color w:val="000000" w:themeColor="text1"/>
              </w:rPr>
              <w:t>-O presente Contrato rege-se pelas disposições expressas na Lei Federal n° 14 e demais alterações posteriores vigentes e pelos preceitos do Direito Público, aplicando-se supletivamente os princípios da Teoria Geral dos Contratos e as disposições do Direito Privado.</w:t>
            </w:r>
          </w:p>
          <w:p w:rsidR="007E0AF0" w:rsidRPr="006E5810" w:rsidRDefault="007E0AF0" w:rsidP="007E0AF0">
            <w:pPr>
              <w:rPr>
                <w:rFonts w:ascii="Arial" w:hAnsi="Arial" w:cs="Arial"/>
                <w:color w:val="000000" w:themeColor="text1"/>
              </w:rPr>
            </w:pPr>
            <w:r w:rsidRPr="006E5810">
              <w:rPr>
                <w:rFonts w:ascii="Arial" w:hAnsi="Arial" w:cs="Arial"/>
                <w:b/>
                <w:bCs/>
                <w:color w:val="000000" w:themeColor="text1"/>
              </w:rPr>
              <w:t>13.  DAS CONDIÇÕES GERAIS</w:t>
            </w:r>
            <w:r w:rsidRPr="006E5810">
              <w:rPr>
                <w:rFonts w:ascii="Arial" w:hAnsi="Arial" w:cs="Arial"/>
                <w:color w:val="000000" w:themeColor="text1"/>
              </w:rPr>
              <w:t xml:space="preserve">: </w:t>
            </w:r>
          </w:p>
          <w:p w:rsidR="007E0AF0" w:rsidRPr="006E5810" w:rsidRDefault="007E0AF0" w:rsidP="007E0AF0">
            <w:pPr>
              <w:rPr>
                <w:rFonts w:ascii="Arial" w:hAnsi="Arial" w:cs="Arial"/>
                <w:bCs/>
                <w:color w:val="000000" w:themeColor="text1"/>
              </w:rPr>
            </w:pPr>
            <w:r w:rsidRPr="006E5810">
              <w:rPr>
                <w:rFonts w:ascii="Arial" w:hAnsi="Arial" w:cs="Arial"/>
                <w:color w:val="000000" w:themeColor="text1"/>
              </w:rPr>
              <w:t xml:space="preserve">13.1-Todos os encargos sociais e trabalhistas, bem como tributos de qualquer espécie, que venha a ser devidos em decorrência do presente correrão por conta da </w:t>
            </w:r>
            <w:r w:rsidRPr="006E5810">
              <w:rPr>
                <w:rFonts w:ascii="Arial" w:hAnsi="Arial" w:cs="Arial"/>
                <w:bCs/>
                <w:color w:val="000000" w:themeColor="text1"/>
              </w:rPr>
              <w:t>CONTRATADA, nos termos do Art. 121, da Lei nº 14.133/2021.</w:t>
            </w:r>
          </w:p>
          <w:p w:rsidR="007E0AF0" w:rsidRPr="006E5810" w:rsidRDefault="007E0AF0" w:rsidP="007E0AF0">
            <w:pPr>
              <w:rPr>
                <w:rFonts w:ascii="Arial" w:hAnsi="Arial" w:cs="Arial"/>
                <w:bCs/>
                <w:color w:val="000000" w:themeColor="text1"/>
              </w:rPr>
            </w:pPr>
          </w:p>
          <w:p w:rsidR="007E0AF0" w:rsidRPr="006E5810" w:rsidRDefault="007E0AF0" w:rsidP="007E0AF0">
            <w:pPr>
              <w:rPr>
                <w:rFonts w:ascii="Arial" w:hAnsi="Arial" w:cs="Arial"/>
                <w:bCs/>
                <w:color w:val="000000" w:themeColor="text1"/>
              </w:rPr>
            </w:pPr>
          </w:p>
          <w:p w:rsidR="007E0AF0" w:rsidRPr="006E5810" w:rsidRDefault="007E0AF0" w:rsidP="007E0AF0">
            <w:pPr>
              <w:rPr>
                <w:rFonts w:ascii="Arial" w:hAnsi="Arial" w:cs="Arial"/>
                <w:bCs/>
                <w:color w:val="000000" w:themeColor="text1"/>
              </w:rPr>
            </w:pPr>
            <w:r w:rsidRPr="006E5810">
              <w:rPr>
                <w:rFonts w:ascii="Arial" w:hAnsi="Arial" w:cs="Arial"/>
                <w:bCs/>
                <w:color w:val="000000" w:themeColor="text1"/>
              </w:rPr>
              <w:t>Ipumirim – SC, 27 de Setembro de 2024</w:t>
            </w:r>
          </w:p>
          <w:p w:rsidR="007E0AF0" w:rsidRPr="006E5810" w:rsidRDefault="007E0AF0" w:rsidP="007E0AF0">
            <w:pPr>
              <w:rPr>
                <w:rFonts w:ascii="Arial" w:hAnsi="Arial" w:cs="Arial"/>
                <w:bCs/>
                <w:color w:val="000000" w:themeColor="text1"/>
              </w:rPr>
            </w:pPr>
          </w:p>
          <w:p w:rsidR="007E0AF0" w:rsidRPr="006E5810" w:rsidRDefault="007E0AF0" w:rsidP="007E0AF0">
            <w:pPr>
              <w:rPr>
                <w:rFonts w:ascii="Arial" w:hAnsi="Arial" w:cs="Arial"/>
                <w:bCs/>
                <w:color w:val="000000" w:themeColor="text1"/>
              </w:rPr>
            </w:pPr>
          </w:p>
          <w:p w:rsidR="007E0AF0" w:rsidRPr="006E5810" w:rsidRDefault="007E0AF0" w:rsidP="007E0AF0">
            <w:pPr>
              <w:rPr>
                <w:rFonts w:ascii="Arial" w:hAnsi="Arial" w:cs="Arial"/>
                <w:bCs/>
                <w:color w:val="000000" w:themeColor="text1"/>
              </w:rPr>
            </w:pPr>
            <w:r w:rsidRPr="006E5810">
              <w:rPr>
                <w:rFonts w:ascii="Arial" w:hAnsi="Arial" w:cs="Arial"/>
                <w:bCs/>
                <w:color w:val="000000" w:themeColor="text1"/>
              </w:rPr>
              <w:t>Salete Ines Lecardelli</w:t>
            </w:r>
          </w:p>
          <w:p w:rsidR="007E0AF0" w:rsidRPr="006E5810" w:rsidRDefault="007E0AF0" w:rsidP="007E0AF0">
            <w:pPr>
              <w:rPr>
                <w:rFonts w:ascii="Arial" w:hAnsi="Arial" w:cs="Arial"/>
              </w:rPr>
            </w:pPr>
            <w:r w:rsidRPr="006E5810">
              <w:rPr>
                <w:rFonts w:ascii="Arial" w:hAnsi="Arial" w:cs="Arial"/>
                <w:bCs/>
                <w:color w:val="000000" w:themeColor="text1"/>
              </w:rPr>
              <w:t>Secretária Municipal de Educação, Cultura e Esportes</w:t>
            </w:r>
          </w:p>
          <w:p w:rsidR="007E0AF0" w:rsidRPr="006E5810" w:rsidRDefault="007E0AF0" w:rsidP="007E0AF0">
            <w:pPr>
              <w:pStyle w:val="normal0"/>
              <w:pBdr>
                <w:top w:val="nil"/>
                <w:left w:val="nil"/>
                <w:bottom w:val="nil"/>
                <w:right w:val="nil"/>
                <w:between w:val="nil"/>
              </w:pBdr>
              <w:ind w:left="112"/>
              <w:jc w:val="both"/>
              <w:rPr>
                <w:color w:val="000000"/>
              </w:rPr>
            </w:pPr>
          </w:p>
          <w:p w:rsidR="007E0AF0" w:rsidRPr="006E5810" w:rsidRDefault="007E0AF0" w:rsidP="007E0AF0">
            <w:pPr>
              <w:tabs>
                <w:tab w:val="left" w:pos="708"/>
              </w:tabs>
              <w:jc w:val="both"/>
              <w:rPr>
                <w:rFonts w:ascii="Arial" w:hAnsi="Arial" w:cs="Arial"/>
                <w:color w:val="000000" w:themeColor="text1"/>
              </w:rPr>
            </w:pPr>
          </w:p>
          <w:p w:rsidR="007E0AF0" w:rsidRPr="006E5810" w:rsidRDefault="007E0AF0" w:rsidP="007E0AF0">
            <w:pPr>
              <w:pStyle w:val="PargrafodaLista"/>
              <w:ind w:left="0"/>
              <w:rPr>
                <w:rFonts w:ascii="Arial" w:hAnsi="Arial" w:cs="Arial"/>
                <w:color w:val="000000"/>
                <w:spacing w:val="2"/>
              </w:rPr>
            </w:pPr>
          </w:p>
          <w:p w:rsidR="007E0AF0" w:rsidRPr="006E5810" w:rsidRDefault="007E0AF0" w:rsidP="007E0AF0">
            <w:pPr>
              <w:pStyle w:val="PargrafodaLista"/>
              <w:ind w:left="0"/>
              <w:rPr>
                <w:rFonts w:ascii="Arial" w:hAnsi="Arial" w:cs="Arial"/>
                <w:color w:val="000000" w:themeColor="text1"/>
              </w:rPr>
            </w:pPr>
          </w:p>
        </w:tc>
        <w:tc>
          <w:tcPr>
            <w:tcW w:w="260" w:type="dxa"/>
            <w:tcMar>
              <w:top w:w="0" w:type="dxa"/>
              <w:left w:w="0" w:type="dxa"/>
              <w:bottom w:w="0" w:type="dxa"/>
              <w:right w:w="0" w:type="dxa"/>
            </w:tcMar>
          </w:tcPr>
          <w:p w:rsidR="007E0AF0" w:rsidRPr="006E5810" w:rsidRDefault="007E0AF0" w:rsidP="007E0AF0">
            <w:pPr>
              <w:snapToGrid w:val="0"/>
              <w:rPr>
                <w:rFonts w:ascii="Arial" w:hAnsi="Arial" w:cs="Arial"/>
                <w:color w:val="000000" w:themeColor="text1"/>
              </w:rPr>
            </w:pPr>
          </w:p>
        </w:tc>
      </w:tr>
    </w:tbl>
    <w:p w:rsidR="00F42380" w:rsidRPr="006E5810" w:rsidRDefault="00F42380" w:rsidP="007E0AF0">
      <w:pPr>
        <w:spacing w:line="276" w:lineRule="auto"/>
        <w:jc w:val="both"/>
        <w:rPr>
          <w:rFonts w:ascii="Arial" w:hAnsi="Arial" w:cs="Arial"/>
          <w:b/>
          <w:spacing w:val="2"/>
        </w:rPr>
      </w:pPr>
    </w:p>
    <w:sectPr w:rsidR="00F42380" w:rsidRPr="006E5810" w:rsidSect="00571C38">
      <w:headerReference w:type="default" r:id="rId13"/>
      <w:footerReference w:type="default" r:id="rId14"/>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83F" w:rsidRDefault="00E3283F" w:rsidP="00571C38">
      <w:r>
        <w:separator/>
      </w:r>
    </w:p>
  </w:endnote>
  <w:endnote w:type="continuationSeparator" w:id="1">
    <w:p w:rsidR="00E3283F" w:rsidRDefault="00E3283F"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3F" w:rsidRDefault="009209E5">
    <w:pPr>
      <w:pStyle w:val="Corpodetexto"/>
      <w:spacing w:line="14" w:lineRule="auto"/>
      <w:ind w:left="0"/>
      <w:rPr>
        <w:sz w:val="20"/>
      </w:rPr>
    </w:pPr>
    <w:r w:rsidRPr="009209E5">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E3283F" w:rsidRPr="00AC601F" w:rsidRDefault="00E3283F"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83F" w:rsidRDefault="00E3283F" w:rsidP="00571C38">
      <w:r>
        <w:separator/>
      </w:r>
    </w:p>
  </w:footnote>
  <w:footnote w:type="continuationSeparator" w:id="1">
    <w:p w:rsidR="00E3283F" w:rsidRDefault="00E3283F"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E3283F" w:rsidTr="00682AF7">
      <w:tc>
        <w:tcPr>
          <w:tcW w:w="1762" w:type="dxa"/>
          <w:vMerge w:val="restart"/>
          <w:hideMark/>
        </w:tcPr>
        <w:p w:rsidR="00E3283F" w:rsidRDefault="00E3283F"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E3283F" w:rsidRDefault="00E3283F"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E3283F" w:rsidTr="00682AF7">
      <w:tc>
        <w:tcPr>
          <w:tcW w:w="0" w:type="auto"/>
          <w:vMerge/>
          <w:vAlign w:val="center"/>
          <w:hideMark/>
        </w:tcPr>
        <w:p w:rsidR="00E3283F" w:rsidRDefault="00E3283F" w:rsidP="00682AF7"/>
      </w:tc>
      <w:tc>
        <w:tcPr>
          <w:tcW w:w="8133" w:type="dxa"/>
          <w:hideMark/>
        </w:tcPr>
        <w:p w:rsidR="00E3283F" w:rsidRDefault="00E3283F"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E3283F" w:rsidTr="00682AF7">
      <w:tc>
        <w:tcPr>
          <w:tcW w:w="0" w:type="auto"/>
          <w:vMerge/>
          <w:vAlign w:val="center"/>
          <w:hideMark/>
        </w:tcPr>
        <w:p w:rsidR="00E3283F" w:rsidRDefault="00E3283F" w:rsidP="00682AF7"/>
      </w:tc>
      <w:tc>
        <w:tcPr>
          <w:tcW w:w="8133" w:type="dxa"/>
        </w:tcPr>
        <w:p w:rsidR="00E3283F" w:rsidRDefault="00E3283F" w:rsidP="00682AF7">
          <w:pPr>
            <w:pStyle w:val="Cabealho"/>
            <w:overflowPunct w:val="0"/>
            <w:adjustRightInd w:val="0"/>
            <w:textAlignment w:val="baseline"/>
            <w:rPr>
              <w:b/>
            </w:rPr>
          </w:pPr>
        </w:p>
      </w:tc>
    </w:tr>
  </w:tbl>
  <w:p w:rsidR="00E3283F" w:rsidRDefault="009209E5">
    <w:pPr>
      <w:pStyle w:val="Corpodetexto"/>
      <w:spacing w:line="14" w:lineRule="auto"/>
      <w:ind w:left="0"/>
      <w:rPr>
        <w:sz w:val="20"/>
      </w:rPr>
    </w:pPr>
    <w:r w:rsidRPr="009209E5">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E3283F" w:rsidRPr="00AC601F" w:rsidRDefault="00E3283F"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3">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5">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2"/>
  </w:num>
  <w:num w:numId="3">
    <w:abstractNumId w:val="15"/>
  </w:num>
  <w:num w:numId="4">
    <w:abstractNumId w:val="7"/>
  </w:num>
  <w:num w:numId="5">
    <w:abstractNumId w:val="6"/>
  </w:num>
  <w:num w:numId="6">
    <w:abstractNumId w:val="18"/>
  </w:num>
  <w:num w:numId="7">
    <w:abstractNumId w:val="9"/>
  </w:num>
  <w:num w:numId="8">
    <w:abstractNumId w:val="5"/>
  </w:num>
  <w:num w:numId="9">
    <w:abstractNumId w:val="14"/>
  </w:num>
  <w:num w:numId="10">
    <w:abstractNumId w:val="17"/>
  </w:num>
  <w:num w:numId="11">
    <w:abstractNumId w:val="13"/>
  </w:num>
  <w:num w:numId="12">
    <w:abstractNumId w:val="12"/>
  </w:num>
  <w:num w:numId="13">
    <w:abstractNumId w:val="19"/>
  </w:num>
  <w:num w:numId="14">
    <w:abstractNumId w:val="11"/>
  </w:num>
  <w:num w:numId="15">
    <w:abstractNumId w:val="16"/>
  </w:num>
  <w:num w:numId="16">
    <w:abstractNumId w:val="10"/>
  </w:num>
  <w:num w:numId="17">
    <w:abstractNumId w:val="0"/>
  </w:num>
  <w:num w:numId="18">
    <w:abstractNumId w:val="20"/>
  </w:num>
  <w:num w:numId="19">
    <w:abstractNumId w:val="8"/>
  </w:num>
  <w:num w:numId="20">
    <w:abstractNumId w:val="3"/>
  </w:num>
  <w:num w:numId="21">
    <w:abstractNumId w:val="21"/>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60EDE"/>
    <w:rsid w:val="00073E27"/>
    <w:rsid w:val="00077531"/>
    <w:rsid w:val="00077F0C"/>
    <w:rsid w:val="00077F3F"/>
    <w:rsid w:val="00091024"/>
    <w:rsid w:val="000955E1"/>
    <w:rsid w:val="00095A19"/>
    <w:rsid w:val="000B5983"/>
    <w:rsid w:val="000C413A"/>
    <w:rsid w:val="000C58A0"/>
    <w:rsid w:val="000D368C"/>
    <w:rsid w:val="000D6430"/>
    <w:rsid w:val="000E33D5"/>
    <w:rsid w:val="000F0001"/>
    <w:rsid w:val="00101C6A"/>
    <w:rsid w:val="001047B2"/>
    <w:rsid w:val="001071A9"/>
    <w:rsid w:val="001078CF"/>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214F"/>
    <w:rsid w:val="001A5119"/>
    <w:rsid w:val="001B55A9"/>
    <w:rsid w:val="001C3B95"/>
    <w:rsid w:val="001C579E"/>
    <w:rsid w:val="001C7CCB"/>
    <w:rsid w:val="001E396D"/>
    <w:rsid w:val="001E5CEC"/>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538"/>
    <w:rsid w:val="0027377E"/>
    <w:rsid w:val="00275357"/>
    <w:rsid w:val="00290A9D"/>
    <w:rsid w:val="00292018"/>
    <w:rsid w:val="002B58CD"/>
    <w:rsid w:val="002C44A6"/>
    <w:rsid w:val="002C46E4"/>
    <w:rsid w:val="002C710A"/>
    <w:rsid w:val="002D257F"/>
    <w:rsid w:val="002D6812"/>
    <w:rsid w:val="002E30E0"/>
    <w:rsid w:val="002F0503"/>
    <w:rsid w:val="002F2274"/>
    <w:rsid w:val="002F4726"/>
    <w:rsid w:val="002F6024"/>
    <w:rsid w:val="002F6D12"/>
    <w:rsid w:val="0030114A"/>
    <w:rsid w:val="003036B2"/>
    <w:rsid w:val="003131C0"/>
    <w:rsid w:val="0031405D"/>
    <w:rsid w:val="00321086"/>
    <w:rsid w:val="003232E9"/>
    <w:rsid w:val="00327F29"/>
    <w:rsid w:val="0033124D"/>
    <w:rsid w:val="00334191"/>
    <w:rsid w:val="00334314"/>
    <w:rsid w:val="00337F2E"/>
    <w:rsid w:val="00340428"/>
    <w:rsid w:val="00342475"/>
    <w:rsid w:val="00342BBE"/>
    <w:rsid w:val="00344AF7"/>
    <w:rsid w:val="003529B6"/>
    <w:rsid w:val="00361F12"/>
    <w:rsid w:val="00366DE7"/>
    <w:rsid w:val="00367FBB"/>
    <w:rsid w:val="00371ABE"/>
    <w:rsid w:val="003739A6"/>
    <w:rsid w:val="00376E0A"/>
    <w:rsid w:val="003810BA"/>
    <w:rsid w:val="003925E2"/>
    <w:rsid w:val="00392BFF"/>
    <w:rsid w:val="00397BB4"/>
    <w:rsid w:val="003A689E"/>
    <w:rsid w:val="003B0AEF"/>
    <w:rsid w:val="003B499D"/>
    <w:rsid w:val="003B5E90"/>
    <w:rsid w:val="003E06CE"/>
    <w:rsid w:val="00405416"/>
    <w:rsid w:val="00424537"/>
    <w:rsid w:val="00425B5C"/>
    <w:rsid w:val="00432C9D"/>
    <w:rsid w:val="00434D3C"/>
    <w:rsid w:val="00440F16"/>
    <w:rsid w:val="00441951"/>
    <w:rsid w:val="00457DC6"/>
    <w:rsid w:val="004603D7"/>
    <w:rsid w:val="00474FDE"/>
    <w:rsid w:val="00490DE3"/>
    <w:rsid w:val="00493362"/>
    <w:rsid w:val="00497612"/>
    <w:rsid w:val="004B58D8"/>
    <w:rsid w:val="004B7AE0"/>
    <w:rsid w:val="004C4933"/>
    <w:rsid w:val="004D09B2"/>
    <w:rsid w:val="004D2849"/>
    <w:rsid w:val="004D727F"/>
    <w:rsid w:val="004E38DF"/>
    <w:rsid w:val="004F2DA7"/>
    <w:rsid w:val="00505D6C"/>
    <w:rsid w:val="0051434C"/>
    <w:rsid w:val="00514643"/>
    <w:rsid w:val="00514D0D"/>
    <w:rsid w:val="005240B6"/>
    <w:rsid w:val="00530D27"/>
    <w:rsid w:val="0053354E"/>
    <w:rsid w:val="00535F49"/>
    <w:rsid w:val="00540A36"/>
    <w:rsid w:val="00540E2B"/>
    <w:rsid w:val="00544C3D"/>
    <w:rsid w:val="0055563E"/>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02303"/>
    <w:rsid w:val="00615641"/>
    <w:rsid w:val="00616B21"/>
    <w:rsid w:val="006318C6"/>
    <w:rsid w:val="00634235"/>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A551E"/>
    <w:rsid w:val="006A5D1E"/>
    <w:rsid w:val="006B4F58"/>
    <w:rsid w:val="006C38B1"/>
    <w:rsid w:val="006C43EE"/>
    <w:rsid w:val="006C71AF"/>
    <w:rsid w:val="006C731F"/>
    <w:rsid w:val="006D2691"/>
    <w:rsid w:val="006D5C03"/>
    <w:rsid w:val="006D6A95"/>
    <w:rsid w:val="006D6BD3"/>
    <w:rsid w:val="006D73A3"/>
    <w:rsid w:val="006E02B7"/>
    <w:rsid w:val="006E5810"/>
    <w:rsid w:val="0070232C"/>
    <w:rsid w:val="00705A75"/>
    <w:rsid w:val="007068FE"/>
    <w:rsid w:val="00711883"/>
    <w:rsid w:val="007173EA"/>
    <w:rsid w:val="007356A5"/>
    <w:rsid w:val="007363DE"/>
    <w:rsid w:val="00737C03"/>
    <w:rsid w:val="00747B17"/>
    <w:rsid w:val="00761C1F"/>
    <w:rsid w:val="00767232"/>
    <w:rsid w:val="007720E1"/>
    <w:rsid w:val="0077758A"/>
    <w:rsid w:val="00782906"/>
    <w:rsid w:val="007A2D9B"/>
    <w:rsid w:val="007C3890"/>
    <w:rsid w:val="007C555A"/>
    <w:rsid w:val="007D40C4"/>
    <w:rsid w:val="007E0AF0"/>
    <w:rsid w:val="007F1DC6"/>
    <w:rsid w:val="007F611E"/>
    <w:rsid w:val="00800483"/>
    <w:rsid w:val="00803066"/>
    <w:rsid w:val="00803167"/>
    <w:rsid w:val="00812AEB"/>
    <w:rsid w:val="00815E95"/>
    <w:rsid w:val="00824AD2"/>
    <w:rsid w:val="00825054"/>
    <w:rsid w:val="008260F4"/>
    <w:rsid w:val="00830335"/>
    <w:rsid w:val="00830DCF"/>
    <w:rsid w:val="00843C18"/>
    <w:rsid w:val="00870CBA"/>
    <w:rsid w:val="008743DA"/>
    <w:rsid w:val="00887E22"/>
    <w:rsid w:val="008914F8"/>
    <w:rsid w:val="008968B9"/>
    <w:rsid w:val="008A073D"/>
    <w:rsid w:val="008A533F"/>
    <w:rsid w:val="008A65E6"/>
    <w:rsid w:val="008B206A"/>
    <w:rsid w:val="008B3FDA"/>
    <w:rsid w:val="008B5F31"/>
    <w:rsid w:val="008C2A0A"/>
    <w:rsid w:val="008D40BB"/>
    <w:rsid w:val="008D7F64"/>
    <w:rsid w:val="008E3844"/>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E156B"/>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42B89"/>
    <w:rsid w:val="00A44782"/>
    <w:rsid w:val="00A51724"/>
    <w:rsid w:val="00A614FE"/>
    <w:rsid w:val="00A7212F"/>
    <w:rsid w:val="00A82724"/>
    <w:rsid w:val="00A92BBA"/>
    <w:rsid w:val="00A974DB"/>
    <w:rsid w:val="00AA3685"/>
    <w:rsid w:val="00AA70A3"/>
    <w:rsid w:val="00AB04D2"/>
    <w:rsid w:val="00AB0617"/>
    <w:rsid w:val="00AB4DC7"/>
    <w:rsid w:val="00AC50BE"/>
    <w:rsid w:val="00AC601F"/>
    <w:rsid w:val="00AD0AF9"/>
    <w:rsid w:val="00AD2396"/>
    <w:rsid w:val="00AD3556"/>
    <w:rsid w:val="00AE7A4F"/>
    <w:rsid w:val="00AF2B54"/>
    <w:rsid w:val="00AF5846"/>
    <w:rsid w:val="00AF6AB7"/>
    <w:rsid w:val="00B003D0"/>
    <w:rsid w:val="00B05131"/>
    <w:rsid w:val="00B21957"/>
    <w:rsid w:val="00B42F29"/>
    <w:rsid w:val="00B43F04"/>
    <w:rsid w:val="00B55E19"/>
    <w:rsid w:val="00B56005"/>
    <w:rsid w:val="00B64375"/>
    <w:rsid w:val="00B7055C"/>
    <w:rsid w:val="00B74599"/>
    <w:rsid w:val="00B75983"/>
    <w:rsid w:val="00B75A46"/>
    <w:rsid w:val="00B8541D"/>
    <w:rsid w:val="00B94986"/>
    <w:rsid w:val="00B97870"/>
    <w:rsid w:val="00BB2127"/>
    <w:rsid w:val="00BC651B"/>
    <w:rsid w:val="00BE19FA"/>
    <w:rsid w:val="00BF25AD"/>
    <w:rsid w:val="00C2424C"/>
    <w:rsid w:val="00C30571"/>
    <w:rsid w:val="00C33D3F"/>
    <w:rsid w:val="00C40C87"/>
    <w:rsid w:val="00C41FAA"/>
    <w:rsid w:val="00C57319"/>
    <w:rsid w:val="00C614BF"/>
    <w:rsid w:val="00C633F6"/>
    <w:rsid w:val="00C72526"/>
    <w:rsid w:val="00C7440F"/>
    <w:rsid w:val="00C75B32"/>
    <w:rsid w:val="00C80B9F"/>
    <w:rsid w:val="00C835B8"/>
    <w:rsid w:val="00C87AC2"/>
    <w:rsid w:val="00C9329E"/>
    <w:rsid w:val="00CA6AF6"/>
    <w:rsid w:val="00CB4987"/>
    <w:rsid w:val="00CC2726"/>
    <w:rsid w:val="00CC309F"/>
    <w:rsid w:val="00CD3B3A"/>
    <w:rsid w:val="00CD7A98"/>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DCC"/>
    <w:rsid w:val="00D67F48"/>
    <w:rsid w:val="00D70CF7"/>
    <w:rsid w:val="00D84D72"/>
    <w:rsid w:val="00D87C16"/>
    <w:rsid w:val="00D93D2A"/>
    <w:rsid w:val="00DA51DC"/>
    <w:rsid w:val="00DB3BF9"/>
    <w:rsid w:val="00DB6CA7"/>
    <w:rsid w:val="00DC0E9B"/>
    <w:rsid w:val="00DC1631"/>
    <w:rsid w:val="00DD0AB3"/>
    <w:rsid w:val="00DD2C6C"/>
    <w:rsid w:val="00DE3DAC"/>
    <w:rsid w:val="00E02961"/>
    <w:rsid w:val="00E0497D"/>
    <w:rsid w:val="00E04DCC"/>
    <w:rsid w:val="00E0655F"/>
    <w:rsid w:val="00E1365E"/>
    <w:rsid w:val="00E17B5A"/>
    <w:rsid w:val="00E3283F"/>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B6EB2"/>
    <w:rsid w:val="00EC5FE3"/>
    <w:rsid w:val="00ED18FD"/>
    <w:rsid w:val="00ED7B1F"/>
    <w:rsid w:val="00ED7CDB"/>
    <w:rsid w:val="00EE3DD1"/>
    <w:rsid w:val="00F013D3"/>
    <w:rsid w:val="00F05EA6"/>
    <w:rsid w:val="00F07F33"/>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5078</Words>
  <Characters>27424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15</cp:revision>
  <cp:lastPrinted>2024-09-13T18:20:00Z</cp:lastPrinted>
  <dcterms:created xsi:type="dcterms:W3CDTF">2024-09-30T10:55:00Z</dcterms:created>
  <dcterms:modified xsi:type="dcterms:W3CDTF">2024-09-30T16:40:00Z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